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6B" w14:textId="340EBD0B" w:rsidR="00524B6B" w:rsidRPr="00E60410" w:rsidRDefault="00524B6B">
      <w:pPr>
        <w:rPr>
          <w:lang w:val="en-GB"/>
        </w:rPr>
      </w:pPr>
    </w:p>
    <w:p w14:paraId="0000006F" w14:textId="77777777" w:rsidR="00524B6B" w:rsidRPr="00E60410" w:rsidRDefault="00BD3B1B">
      <w:pPr>
        <w:jc w:val="center"/>
        <w:rPr>
          <w:b/>
          <w:color w:val="A61C00"/>
          <w:sz w:val="90"/>
          <w:szCs w:val="90"/>
          <w:lang w:val="en-GB"/>
        </w:rPr>
      </w:pPr>
      <w:r w:rsidRPr="00E60410">
        <w:rPr>
          <w:b/>
          <w:color w:val="A61C00"/>
          <w:sz w:val="90"/>
          <w:szCs w:val="90"/>
          <w:lang w:val="en-GB"/>
        </w:rPr>
        <w:t>IoT for Sustainability</w:t>
      </w:r>
    </w:p>
    <w:p w14:paraId="00000070" w14:textId="77777777" w:rsidR="00524B6B" w:rsidRPr="00E60410" w:rsidRDefault="00524B6B">
      <w:pPr>
        <w:jc w:val="center"/>
        <w:rPr>
          <w:sz w:val="60"/>
          <w:szCs w:val="60"/>
          <w:lang w:val="en-GB"/>
        </w:rPr>
      </w:pPr>
    </w:p>
    <w:p w14:paraId="00000071" w14:textId="77777777" w:rsidR="00524B6B" w:rsidRPr="00E60410" w:rsidRDefault="00BD3B1B">
      <w:pPr>
        <w:jc w:val="center"/>
        <w:rPr>
          <w:sz w:val="54"/>
          <w:szCs w:val="54"/>
          <w:lang w:val="en-GB"/>
        </w:rPr>
      </w:pPr>
      <w:r w:rsidRPr="00E60410">
        <w:rPr>
          <w:sz w:val="54"/>
          <w:szCs w:val="54"/>
          <w:lang w:val="en-GB"/>
        </w:rPr>
        <w:t>oneM2M White Paper</w:t>
      </w:r>
    </w:p>
    <w:p w14:paraId="00000072" w14:textId="77777777" w:rsidR="00524B6B" w:rsidRPr="00E60410" w:rsidRDefault="00524B6B">
      <w:pPr>
        <w:jc w:val="center"/>
        <w:rPr>
          <w:sz w:val="54"/>
          <w:szCs w:val="54"/>
          <w:lang w:val="en-GB"/>
        </w:rPr>
      </w:pPr>
    </w:p>
    <w:p w14:paraId="00000073" w14:textId="77777777" w:rsidR="00524B6B" w:rsidRPr="00E60410" w:rsidRDefault="00BD3B1B">
      <w:pPr>
        <w:jc w:val="center"/>
        <w:rPr>
          <w:sz w:val="54"/>
          <w:szCs w:val="54"/>
          <w:lang w:val="en-GB"/>
        </w:rPr>
      </w:pPr>
      <w:r w:rsidRPr="00E60410">
        <w:rPr>
          <w:noProof/>
          <w:sz w:val="54"/>
          <w:szCs w:val="54"/>
          <w:lang w:val="en-GB"/>
        </w:rPr>
        <w:drawing>
          <wp:inline distT="114300" distB="114300" distL="114300" distR="114300" wp14:anchorId="25618794" wp14:editId="299AF649">
            <wp:extent cx="4271963" cy="3142357"/>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4271963" cy="3142357"/>
                    </a:xfrm>
                    <a:prstGeom prst="rect">
                      <a:avLst/>
                    </a:prstGeom>
                    <a:ln/>
                  </pic:spPr>
                </pic:pic>
              </a:graphicData>
            </a:graphic>
          </wp:inline>
        </w:drawing>
      </w:r>
    </w:p>
    <w:p w14:paraId="00000074" w14:textId="2E332920" w:rsidR="00524B6B" w:rsidRDefault="00524B6B">
      <w:pPr>
        <w:jc w:val="center"/>
        <w:rPr>
          <w:sz w:val="20"/>
          <w:szCs w:val="20"/>
          <w:lang w:val="en-GB"/>
        </w:rPr>
      </w:pPr>
    </w:p>
    <w:p w14:paraId="7BBD7DA6" w14:textId="13C69E57" w:rsidR="00AE0E90" w:rsidRDefault="00AE0E90">
      <w:pPr>
        <w:jc w:val="center"/>
        <w:rPr>
          <w:sz w:val="20"/>
          <w:szCs w:val="20"/>
          <w:lang w:val="en-GB"/>
        </w:rPr>
      </w:pPr>
      <w:r>
        <w:rPr>
          <w:sz w:val="20"/>
          <w:szCs w:val="20"/>
          <w:lang w:val="en-GB"/>
        </w:rPr>
        <w:t>September 2021</w:t>
      </w:r>
    </w:p>
    <w:p w14:paraId="45B53729" w14:textId="54120BA4" w:rsidR="00AE0E90" w:rsidRDefault="00AE0E90">
      <w:pPr>
        <w:jc w:val="center"/>
        <w:rPr>
          <w:sz w:val="20"/>
          <w:szCs w:val="20"/>
          <w:lang w:val="en-GB"/>
        </w:rPr>
      </w:pPr>
    </w:p>
    <w:p w14:paraId="5355740F" w14:textId="1052495B" w:rsidR="00AE0E90" w:rsidRDefault="00AE0E90">
      <w:pPr>
        <w:jc w:val="center"/>
        <w:rPr>
          <w:sz w:val="20"/>
          <w:szCs w:val="20"/>
          <w:lang w:val="en-GB"/>
        </w:rPr>
      </w:pPr>
    </w:p>
    <w:p w14:paraId="76A6AEB0" w14:textId="77777777" w:rsidR="00AE0E90" w:rsidRPr="00290FBA" w:rsidRDefault="00AE0E90">
      <w:pPr>
        <w:jc w:val="center"/>
        <w:rPr>
          <w:sz w:val="20"/>
          <w:szCs w:val="20"/>
          <w:lang w:val="en-GB"/>
        </w:rPr>
      </w:pPr>
    </w:p>
    <w:p w14:paraId="1E68AB31" w14:textId="0D92CAE3" w:rsidR="00AE0E90" w:rsidRDefault="00AE0E90">
      <w:pPr>
        <w:jc w:val="center"/>
        <w:rPr>
          <w:lang w:val="en-GB"/>
        </w:rPr>
      </w:pPr>
    </w:p>
    <w:p w14:paraId="3679CF7D" w14:textId="77777777" w:rsidR="003F0EBF" w:rsidRDefault="003F0EBF">
      <w:pPr>
        <w:jc w:val="center"/>
      </w:pPr>
    </w:p>
    <w:p w14:paraId="00000075" w14:textId="307C3451" w:rsidR="00524B6B" w:rsidRPr="00E60410" w:rsidRDefault="00AE0E90" w:rsidP="00290FBA">
      <w:pPr>
        <w:jc w:val="both"/>
        <w:rPr>
          <w:sz w:val="54"/>
          <w:szCs w:val="54"/>
          <w:lang w:val="en-GB"/>
        </w:rPr>
      </w:pPr>
      <w:r w:rsidRPr="00290FBA">
        <w:rPr>
          <w:sz w:val="18"/>
          <w:szCs w:val="18"/>
          <w:lang w:val="en-GB"/>
        </w:rPr>
        <w:t>oneM2M is the global standards initiative that covers requirements, architecture, API specifications, security solutions and interoperability for Machine-to-Machine and IoT technologies. oneM2M was formed in 2012 and consists of eight of the world's preeminent standards development organizations: ARIB (Japan), ATIS (U.S.), CCSA (China), ETSI (Europe), TIA (U.S.), TSDSI (India), TTA (Korea), and TTC (Japan), together with industry fora and consortia (GlobalPlatform) and over 200 member organizations. oneM2M specifications provide a framework to support applications and services such as the smart grid, connected car, home automation, public safety, and health. oneM2M actively encourages industry associations and forums with specific application requirements to participate in oneM2M, in order to ensure that the solutions developed support their specific needs. For more information, including how to join and participate in oneM2M, see: www.onem2m.org.</w:t>
      </w:r>
      <w:r w:rsidR="00BD3B1B" w:rsidRPr="00E60410">
        <w:rPr>
          <w:lang w:val="en-GB"/>
        </w:rPr>
        <w:br w:type="page"/>
      </w:r>
    </w:p>
    <w:p w14:paraId="00000076" w14:textId="77777777" w:rsidR="00524B6B" w:rsidRPr="00E60410" w:rsidRDefault="00BD3B1B">
      <w:pPr>
        <w:rPr>
          <w:b/>
          <w:sz w:val="36"/>
          <w:szCs w:val="36"/>
          <w:lang w:val="en-GB"/>
        </w:rPr>
      </w:pPr>
      <w:r w:rsidRPr="00E60410">
        <w:rPr>
          <w:b/>
          <w:sz w:val="36"/>
          <w:szCs w:val="36"/>
          <w:lang w:val="en-GB"/>
        </w:rPr>
        <w:lastRenderedPageBreak/>
        <w:t>TABLE OF CONTENTS</w:t>
      </w:r>
    </w:p>
    <w:p w14:paraId="00000077" w14:textId="77777777" w:rsidR="00524B6B" w:rsidRPr="00E60410" w:rsidRDefault="00524B6B">
      <w:pPr>
        <w:rPr>
          <w:lang w:val="en-GB"/>
        </w:rPr>
      </w:pPr>
    </w:p>
    <w:p w14:paraId="00000078" w14:textId="77777777" w:rsidR="00524B6B" w:rsidRPr="00E60410" w:rsidRDefault="00524B6B">
      <w:pPr>
        <w:rPr>
          <w:lang w:val="en-GB"/>
        </w:rPr>
      </w:pPr>
    </w:p>
    <w:sdt>
      <w:sdtPr>
        <w:rPr>
          <w:lang w:val="en-GB"/>
        </w:rPr>
        <w:id w:val="732432768"/>
        <w:docPartObj>
          <w:docPartGallery w:val="Table of Contents"/>
          <w:docPartUnique/>
        </w:docPartObj>
      </w:sdtPr>
      <w:sdtEndPr/>
      <w:sdtContent>
        <w:p w14:paraId="3CC534A1" w14:textId="10A7EB2E" w:rsidR="007F22B6" w:rsidRDefault="00BD3B1B">
          <w:pPr>
            <w:pStyle w:val="TOC1"/>
            <w:tabs>
              <w:tab w:val="right" w:pos="9350"/>
            </w:tabs>
            <w:rPr>
              <w:rFonts w:asciiTheme="minorHAnsi" w:eastAsiaTheme="minorEastAsia" w:hAnsiTheme="minorHAnsi" w:cstheme="minorBidi"/>
              <w:noProof/>
              <w:lang w:val="en-US"/>
            </w:rPr>
          </w:pPr>
          <w:r w:rsidRPr="00E60410">
            <w:rPr>
              <w:lang w:val="en-GB"/>
            </w:rPr>
            <w:fldChar w:fldCharType="begin"/>
          </w:r>
          <w:r w:rsidRPr="00E60410">
            <w:rPr>
              <w:lang w:val="en-GB"/>
            </w:rPr>
            <w:instrText xml:space="preserve"> TOC \h \u \z </w:instrText>
          </w:r>
          <w:r w:rsidRPr="00E60410">
            <w:rPr>
              <w:lang w:val="en-GB"/>
            </w:rPr>
            <w:fldChar w:fldCharType="separate"/>
          </w:r>
          <w:hyperlink w:anchor="_Toc82352535" w:history="1">
            <w:r w:rsidR="007F22B6" w:rsidRPr="00433EBE">
              <w:rPr>
                <w:rStyle w:val="Hyperlink"/>
                <w:noProof/>
                <w:lang w:val="en-GB"/>
              </w:rPr>
              <w:t>Executive Summary</w:t>
            </w:r>
            <w:r w:rsidR="007F22B6">
              <w:rPr>
                <w:noProof/>
                <w:webHidden/>
              </w:rPr>
              <w:tab/>
            </w:r>
            <w:r w:rsidR="007F22B6">
              <w:rPr>
                <w:noProof/>
                <w:webHidden/>
              </w:rPr>
              <w:fldChar w:fldCharType="begin"/>
            </w:r>
            <w:r w:rsidR="007F22B6">
              <w:rPr>
                <w:noProof/>
                <w:webHidden/>
              </w:rPr>
              <w:instrText xml:space="preserve"> PAGEREF _Toc82352535 \h </w:instrText>
            </w:r>
            <w:r w:rsidR="007F22B6">
              <w:rPr>
                <w:noProof/>
                <w:webHidden/>
              </w:rPr>
            </w:r>
            <w:r w:rsidR="007F22B6">
              <w:rPr>
                <w:noProof/>
                <w:webHidden/>
              </w:rPr>
              <w:fldChar w:fldCharType="separate"/>
            </w:r>
            <w:r w:rsidR="00B405D3">
              <w:rPr>
                <w:noProof/>
                <w:webHidden/>
              </w:rPr>
              <w:t>3</w:t>
            </w:r>
            <w:r w:rsidR="007F22B6">
              <w:rPr>
                <w:noProof/>
                <w:webHidden/>
              </w:rPr>
              <w:fldChar w:fldCharType="end"/>
            </w:r>
          </w:hyperlink>
        </w:p>
        <w:p w14:paraId="7480EA03" w14:textId="62136F9C" w:rsidR="007F22B6" w:rsidRDefault="00B405D3">
          <w:pPr>
            <w:pStyle w:val="TOC1"/>
            <w:tabs>
              <w:tab w:val="left" w:pos="440"/>
              <w:tab w:val="right" w:pos="9350"/>
            </w:tabs>
            <w:rPr>
              <w:rFonts w:asciiTheme="minorHAnsi" w:eastAsiaTheme="minorEastAsia" w:hAnsiTheme="minorHAnsi" w:cstheme="minorBidi"/>
              <w:noProof/>
              <w:lang w:val="en-US"/>
            </w:rPr>
          </w:pPr>
          <w:hyperlink w:anchor="_Toc82352536" w:history="1">
            <w:r w:rsidR="007F22B6" w:rsidRPr="00433EBE">
              <w:rPr>
                <w:rStyle w:val="Hyperlink"/>
                <w:noProof/>
                <w:lang w:val="en-GB"/>
              </w:rPr>
              <w:t>1.</w:t>
            </w:r>
            <w:r w:rsidR="007F22B6">
              <w:rPr>
                <w:rFonts w:asciiTheme="minorHAnsi" w:eastAsiaTheme="minorEastAsia" w:hAnsiTheme="minorHAnsi" w:cstheme="minorBidi"/>
                <w:noProof/>
                <w:lang w:val="en-US"/>
              </w:rPr>
              <w:tab/>
            </w:r>
            <w:r w:rsidR="007F22B6" w:rsidRPr="00433EBE">
              <w:rPr>
                <w:rStyle w:val="Hyperlink"/>
                <w:noProof/>
                <w:lang w:val="en-GB"/>
              </w:rPr>
              <w:t>Why ‘sustainability’ is important</w:t>
            </w:r>
            <w:r w:rsidR="007F22B6">
              <w:rPr>
                <w:noProof/>
                <w:webHidden/>
              </w:rPr>
              <w:tab/>
            </w:r>
            <w:r w:rsidR="007F22B6">
              <w:rPr>
                <w:noProof/>
                <w:webHidden/>
              </w:rPr>
              <w:fldChar w:fldCharType="begin"/>
            </w:r>
            <w:r w:rsidR="007F22B6">
              <w:rPr>
                <w:noProof/>
                <w:webHidden/>
              </w:rPr>
              <w:instrText xml:space="preserve"> PAGEREF _Toc82352536 \h </w:instrText>
            </w:r>
            <w:r w:rsidR="007F22B6">
              <w:rPr>
                <w:noProof/>
                <w:webHidden/>
              </w:rPr>
            </w:r>
            <w:r w:rsidR="007F22B6">
              <w:rPr>
                <w:noProof/>
                <w:webHidden/>
              </w:rPr>
              <w:fldChar w:fldCharType="separate"/>
            </w:r>
            <w:r>
              <w:rPr>
                <w:noProof/>
                <w:webHidden/>
              </w:rPr>
              <w:t>5</w:t>
            </w:r>
            <w:r w:rsidR="007F22B6">
              <w:rPr>
                <w:noProof/>
                <w:webHidden/>
              </w:rPr>
              <w:fldChar w:fldCharType="end"/>
            </w:r>
          </w:hyperlink>
        </w:p>
        <w:p w14:paraId="109E7A04" w14:textId="056511E2" w:rsidR="007F22B6" w:rsidRDefault="00B405D3">
          <w:pPr>
            <w:pStyle w:val="TOC2"/>
            <w:tabs>
              <w:tab w:val="right" w:pos="9350"/>
            </w:tabs>
            <w:rPr>
              <w:rFonts w:asciiTheme="minorHAnsi" w:eastAsiaTheme="minorEastAsia" w:hAnsiTheme="minorHAnsi" w:cstheme="minorBidi"/>
              <w:noProof/>
              <w:lang w:val="en-US"/>
            </w:rPr>
          </w:pPr>
          <w:hyperlink w:anchor="_Toc82352537" w:history="1">
            <w:r w:rsidR="007F22B6" w:rsidRPr="00433EBE">
              <w:rPr>
                <w:rStyle w:val="Hyperlink"/>
                <w:noProof/>
                <w:lang w:val="en-GB"/>
              </w:rPr>
              <w:t>1.1 What is ‘</w:t>
            </w:r>
            <w:r w:rsidR="007F22B6" w:rsidRPr="00433EBE">
              <w:rPr>
                <w:rStyle w:val="Hyperlink"/>
                <w:noProof/>
              </w:rPr>
              <w:t>sustainability’</w:t>
            </w:r>
            <w:r w:rsidR="007F22B6" w:rsidRPr="00433EBE">
              <w:rPr>
                <w:rStyle w:val="Hyperlink"/>
                <w:noProof/>
                <w:lang w:val="en-GB"/>
              </w:rPr>
              <w:t>?</w:t>
            </w:r>
            <w:r w:rsidR="007F22B6">
              <w:rPr>
                <w:noProof/>
                <w:webHidden/>
              </w:rPr>
              <w:tab/>
            </w:r>
            <w:r w:rsidR="007F22B6">
              <w:rPr>
                <w:noProof/>
                <w:webHidden/>
              </w:rPr>
              <w:fldChar w:fldCharType="begin"/>
            </w:r>
            <w:r w:rsidR="007F22B6">
              <w:rPr>
                <w:noProof/>
                <w:webHidden/>
              </w:rPr>
              <w:instrText xml:space="preserve"> PAGEREF _Toc82352537 \h </w:instrText>
            </w:r>
            <w:r w:rsidR="007F22B6">
              <w:rPr>
                <w:noProof/>
                <w:webHidden/>
              </w:rPr>
            </w:r>
            <w:r w:rsidR="007F22B6">
              <w:rPr>
                <w:noProof/>
                <w:webHidden/>
              </w:rPr>
              <w:fldChar w:fldCharType="separate"/>
            </w:r>
            <w:r>
              <w:rPr>
                <w:noProof/>
                <w:webHidden/>
              </w:rPr>
              <w:t>5</w:t>
            </w:r>
            <w:r w:rsidR="007F22B6">
              <w:rPr>
                <w:noProof/>
                <w:webHidden/>
              </w:rPr>
              <w:fldChar w:fldCharType="end"/>
            </w:r>
          </w:hyperlink>
        </w:p>
        <w:p w14:paraId="2ABBA7EC" w14:textId="6DE84085" w:rsidR="007F22B6" w:rsidRDefault="00B405D3">
          <w:pPr>
            <w:pStyle w:val="TOC2"/>
            <w:tabs>
              <w:tab w:val="right" w:pos="9350"/>
            </w:tabs>
            <w:rPr>
              <w:rFonts w:asciiTheme="minorHAnsi" w:eastAsiaTheme="minorEastAsia" w:hAnsiTheme="minorHAnsi" w:cstheme="minorBidi"/>
              <w:noProof/>
              <w:lang w:val="en-US"/>
            </w:rPr>
          </w:pPr>
          <w:hyperlink w:anchor="_Toc82352538" w:history="1">
            <w:r w:rsidR="007F22B6" w:rsidRPr="00433EBE">
              <w:rPr>
                <w:rStyle w:val="Hyperlink"/>
                <w:noProof/>
                <w:lang w:val="en-GB"/>
              </w:rPr>
              <w:t>1.2 Quantifying the Impact in Key Market Segments</w:t>
            </w:r>
            <w:r w:rsidR="007F22B6">
              <w:rPr>
                <w:noProof/>
                <w:webHidden/>
              </w:rPr>
              <w:tab/>
            </w:r>
            <w:r w:rsidR="007F22B6">
              <w:rPr>
                <w:noProof/>
                <w:webHidden/>
              </w:rPr>
              <w:fldChar w:fldCharType="begin"/>
            </w:r>
            <w:r w:rsidR="007F22B6">
              <w:rPr>
                <w:noProof/>
                <w:webHidden/>
              </w:rPr>
              <w:instrText xml:space="preserve"> PAGEREF _Toc82352538 \h </w:instrText>
            </w:r>
            <w:r w:rsidR="007F22B6">
              <w:rPr>
                <w:noProof/>
                <w:webHidden/>
              </w:rPr>
            </w:r>
            <w:r w:rsidR="007F22B6">
              <w:rPr>
                <w:noProof/>
                <w:webHidden/>
              </w:rPr>
              <w:fldChar w:fldCharType="separate"/>
            </w:r>
            <w:r>
              <w:rPr>
                <w:noProof/>
                <w:webHidden/>
              </w:rPr>
              <w:t>6</w:t>
            </w:r>
            <w:r w:rsidR="007F22B6">
              <w:rPr>
                <w:noProof/>
                <w:webHidden/>
              </w:rPr>
              <w:fldChar w:fldCharType="end"/>
            </w:r>
          </w:hyperlink>
        </w:p>
        <w:p w14:paraId="7C25D29C" w14:textId="5B7B7C45" w:rsidR="007F22B6" w:rsidRDefault="00B405D3">
          <w:pPr>
            <w:pStyle w:val="TOC2"/>
            <w:tabs>
              <w:tab w:val="right" w:pos="9350"/>
            </w:tabs>
            <w:rPr>
              <w:rFonts w:asciiTheme="minorHAnsi" w:eastAsiaTheme="minorEastAsia" w:hAnsiTheme="minorHAnsi" w:cstheme="minorBidi"/>
              <w:noProof/>
              <w:lang w:val="en-US"/>
            </w:rPr>
          </w:pPr>
          <w:hyperlink w:anchor="_Toc82352539" w:history="1">
            <w:r w:rsidR="007F22B6" w:rsidRPr="00433EBE">
              <w:rPr>
                <w:rStyle w:val="Hyperlink"/>
                <w:noProof/>
                <w:lang w:val="en-GB"/>
              </w:rPr>
              <w:t>1.3 Market Forces are Driving Change</w:t>
            </w:r>
            <w:r w:rsidR="007F22B6">
              <w:rPr>
                <w:noProof/>
                <w:webHidden/>
              </w:rPr>
              <w:tab/>
            </w:r>
            <w:r w:rsidR="007F22B6">
              <w:rPr>
                <w:noProof/>
                <w:webHidden/>
              </w:rPr>
              <w:fldChar w:fldCharType="begin"/>
            </w:r>
            <w:r w:rsidR="007F22B6">
              <w:rPr>
                <w:noProof/>
                <w:webHidden/>
              </w:rPr>
              <w:instrText xml:space="preserve"> PAGEREF _Toc82352539 \h </w:instrText>
            </w:r>
            <w:r w:rsidR="007F22B6">
              <w:rPr>
                <w:noProof/>
                <w:webHidden/>
              </w:rPr>
            </w:r>
            <w:r w:rsidR="007F22B6">
              <w:rPr>
                <w:noProof/>
                <w:webHidden/>
              </w:rPr>
              <w:fldChar w:fldCharType="separate"/>
            </w:r>
            <w:r>
              <w:rPr>
                <w:noProof/>
                <w:webHidden/>
              </w:rPr>
              <w:t>7</w:t>
            </w:r>
            <w:r w:rsidR="007F22B6">
              <w:rPr>
                <w:noProof/>
                <w:webHidden/>
              </w:rPr>
              <w:fldChar w:fldCharType="end"/>
            </w:r>
          </w:hyperlink>
        </w:p>
        <w:p w14:paraId="520DAE9F" w14:textId="681C835B" w:rsidR="007F22B6" w:rsidRDefault="00B405D3">
          <w:pPr>
            <w:pStyle w:val="TOC1"/>
            <w:tabs>
              <w:tab w:val="left" w:pos="440"/>
              <w:tab w:val="right" w:pos="9350"/>
            </w:tabs>
            <w:rPr>
              <w:rFonts w:asciiTheme="minorHAnsi" w:eastAsiaTheme="minorEastAsia" w:hAnsiTheme="minorHAnsi" w:cstheme="minorBidi"/>
              <w:noProof/>
              <w:lang w:val="en-US"/>
            </w:rPr>
          </w:pPr>
          <w:hyperlink w:anchor="_Toc82352540" w:history="1">
            <w:r w:rsidR="007F22B6" w:rsidRPr="00433EBE">
              <w:rPr>
                <w:rStyle w:val="Hyperlink"/>
                <w:noProof/>
                <w:lang w:val="en-GB"/>
              </w:rPr>
              <w:t>2.</w:t>
            </w:r>
            <w:r w:rsidR="007F22B6">
              <w:rPr>
                <w:rFonts w:asciiTheme="minorHAnsi" w:eastAsiaTheme="minorEastAsia" w:hAnsiTheme="minorHAnsi" w:cstheme="minorBidi"/>
                <w:noProof/>
                <w:lang w:val="en-US"/>
              </w:rPr>
              <w:tab/>
            </w:r>
            <w:r w:rsidR="007F22B6" w:rsidRPr="00433EBE">
              <w:rPr>
                <w:rStyle w:val="Hyperlink"/>
                <w:noProof/>
                <w:lang w:val="en-GB"/>
              </w:rPr>
              <w:t>Approaches to Sustainability</w:t>
            </w:r>
            <w:r w:rsidR="007F22B6">
              <w:rPr>
                <w:noProof/>
                <w:webHidden/>
              </w:rPr>
              <w:tab/>
            </w:r>
            <w:r w:rsidR="007F22B6">
              <w:rPr>
                <w:noProof/>
                <w:webHidden/>
              </w:rPr>
              <w:fldChar w:fldCharType="begin"/>
            </w:r>
            <w:r w:rsidR="007F22B6">
              <w:rPr>
                <w:noProof/>
                <w:webHidden/>
              </w:rPr>
              <w:instrText xml:space="preserve"> PAGEREF _Toc82352540 \h </w:instrText>
            </w:r>
            <w:r w:rsidR="007F22B6">
              <w:rPr>
                <w:noProof/>
                <w:webHidden/>
              </w:rPr>
            </w:r>
            <w:r w:rsidR="007F22B6">
              <w:rPr>
                <w:noProof/>
                <w:webHidden/>
              </w:rPr>
              <w:fldChar w:fldCharType="separate"/>
            </w:r>
            <w:r>
              <w:rPr>
                <w:noProof/>
                <w:webHidden/>
              </w:rPr>
              <w:t>9</w:t>
            </w:r>
            <w:r w:rsidR="007F22B6">
              <w:rPr>
                <w:noProof/>
                <w:webHidden/>
              </w:rPr>
              <w:fldChar w:fldCharType="end"/>
            </w:r>
          </w:hyperlink>
        </w:p>
        <w:p w14:paraId="71F0DEA7" w14:textId="6EFBFA6D" w:rsidR="007F22B6" w:rsidRDefault="00B405D3">
          <w:pPr>
            <w:pStyle w:val="TOC2"/>
            <w:tabs>
              <w:tab w:val="right" w:pos="9350"/>
            </w:tabs>
            <w:rPr>
              <w:rFonts w:asciiTheme="minorHAnsi" w:eastAsiaTheme="minorEastAsia" w:hAnsiTheme="minorHAnsi" w:cstheme="minorBidi"/>
              <w:noProof/>
              <w:lang w:val="en-US"/>
            </w:rPr>
          </w:pPr>
          <w:hyperlink w:anchor="_Toc82352541" w:history="1">
            <w:r w:rsidR="007F22B6" w:rsidRPr="00433EBE">
              <w:rPr>
                <w:rStyle w:val="Hyperlink"/>
                <w:noProof/>
                <w:lang w:val="en-GB"/>
              </w:rPr>
              <w:t>2.1 Macro Approaches to Net-Zero Emissions</w:t>
            </w:r>
            <w:r w:rsidR="007F22B6">
              <w:rPr>
                <w:noProof/>
                <w:webHidden/>
              </w:rPr>
              <w:tab/>
            </w:r>
            <w:r w:rsidR="007F22B6">
              <w:rPr>
                <w:noProof/>
                <w:webHidden/>
              </w:rPr>
              <w:fldChar w:fldCharType="begin"/>
            </w:r>
            <w:r w:rsidR="007F22B6">
              <w:rPr>
                <w:noProof/>
                <w:webHidden/>
              </w:rPr>
              <w:instrText xml:space="preserve"> PAGEREF _Toc82352541 \h </w:instrText>
            </w:r>
            <w:r w:rsidR="007F22B6">
              <w:rPr>
                <w:noProof/>
                <w:webHidden/>
              </w:rPr>
            </w:r>
            <w:r w:rsidR="007F22B6">
              <w:rPr>
                <w:noProof/>
                <w:webHidden/>
              </w:rPr>
              <w:fldChar w:fldCharType="separate"/>
            </w:r>
            <w:r>
              <w:rPr>
                <w:noProof/>
                <w:webHidden/>
              </w:rPr>
              <w:t>9</w:t>
            </w:r>
            <w:r w:rsidR="007F22B6">
              <w:rPr>
                <w:noProof/>
                <w:webHidden/>
              </w:rPr>
              <w:fldChar w:fldCharType="end"/>
            </w:r>
          </w:hyperlink>
        </w:p>
        <w:p w14:paraId="409AA527" w14:textId="7CD5A384" w:rsidR="007F22B6" w:rsidRDefault="00B405D3">
          <w:pPr>
            <w:pStyle w:val="TOC2"/>
            <w:tabs>
              <w:tab w:val="right" w:pos="9350"/>
            </w:tabs>
            <w:rPr>
              <w:rFonts w:asciiTheme="minorHAnsi" w:eastAsiaTheme="minorEastAsia" w:hAnsiTheme="minorHAnsi" w:cstheme="minorBidi"/>
              <w:noProof/>
              <w:lang w:val="en-US"/>
            </w:rPr>
          </w:pPr>
          <w:hyperlink w:anchor="_Toc82352542" w:history="1">
            <w:r w:rsidR="007F22B6" w:rsidRPr="00433EBE">
              <w:rPr>
                <w:rStyle w:val="Hyperlink"/>
                <w:noProof/>
                <w:lang w:val="en-GB"/>
              </w:rPr>
              <w:t>2.2 An Example of Regional Action - the EU’s Green Deal</w:t>
            </w:r>
            <w:r w:rsidR="007F22B6">
              <w:rPr>
                <w:noProof/>
                <w:webHidden/>
              </w:rPr>
              <w:tab/>
            </w:r>
            <w:r w:rsidR="007F22B6">
              <w:rPr>
                <w:noProof/>
                <w:webHidden/>
              </w:rPr>
              <w:fldChar w:fldCharType="begin"/>
            </w:r>
            <w:r w:rsidR="007F22B6">
              <w:rPr>
                <w:noProof/>
                <w:webHidden/>
              </w:rPr>
              <w:instrText xml:space="preserve"> PAGEREF _Toc82352542 \h </w:instrText>
            </w:r>
            <w:r w:rsidR="007F22B6">
              <w:rPr>
                <w:noProof/>
                <w:webHidden/>
              </w:rPr>
            </w:r>
            <w:r w:rsidR="007F22B6">
              <w:rPr>
                <w:noProof/>
                <w:webHidden/>
              </w:rPr>
              <w:fldChar w:fldCharType="separate"/>
            </w:r>
            <w:r>
              <w:rPr>
                <w:noProof/>
                <w:webHidden/>
              </w:rPr>
              <w:t>10</w:t>
            </w:r>
            <w:r w:rsidR="007F22B6">
              <w:rPr>
                <w:noProof/>
                <w:webHidden/>
              </w:rPr>
              <w:fldChar w:fldCharType="end"/>
            </w:r>
          </w:hyperlink>
        </w:p>
        <w:p w14:paraId="07BEA602" w14:textId="2B9A6BE8" w:rsidR="007F22B6" w:rsidRDefault="00B405D3">
          <w:pPr>
            <w:pStyle w:val="TOC2"/>
            <w:tabs>
              <w:tab w:val="right" w:pos="9350"/>
            </w:tabs>
            <w:rPr>
              <w:rFonts w:asciiTheme="minorHAnsi" w:eastAsiaTheme="minorEastAsia" w:hAnsiTheme="minorHAnsi" w:cstheme="minorBidi"/>
              <w:noProof/>
              <w:lang w:val="en-US"/>
            </w:rPr>
          </w:pPr>
          <w:hyperlink w:anchor="_Toc82352543" w:history="1">
            <w:r w:rsidR="007F22B6" w:rsidRPr="00433EBE">
              <w:rPr>
                <w:rStyle w:val="Hyperlink"/>
                <w:noProof/>
                <w:lang w:val="en-GB"/>
              </w:rPr>
              <w:t>2.3 Private Sector Strategies to Address Sustainability</w:t>
            </w:r>
            <w:r w:rsidR="007F22B6">
              <w:rPr>
                <w:noProof/>
                <w:webHidden/>
              </w:rPr>
              <w:tab/>
            </w:r>
            <w:r w:rsidR="007F22B6">
              <w:rPr>
                <w:noProof/>
                <w:webHidden/>
              </w:rPr>
              <w:fldChar w:fldCharType="begin"/>
            </w:r>
            <w:r w:rsidR="007F22B6">
              <w:rPr>
                <w:noProof/>
                <w:webHidden/>
              </w:rPr>
              <w:instrText xml:space="preserve"> PAGEREF _Toc82352543 \h </w:instrText>
            </w:r>
            <w:r w:rsidR="007F22B6">
              <w:rPr>
                <w:noProof/>
                <w:webHidden/>
              </w:rPr>
            </w:r>
            <w:r w:rsidR="007F22B6">
              <w:rPr>
                <w:noProof/>
                <w:webHidden/>
              </w:rPr>
              <w:fldChar w:fldCharType="separate"/>
            </w:r>
            <w:r>
              <w:rPr>
                <w:noProof/>
                <w:webHidden/>
              </w:rPr>
              <w:t>11</w:t>
            </w:r>
            <w:r w:rsidR="007F22B6">
              <w:rPr>
                <w:noProof/>
                <w:webHidden/>
              </w:rPr>
              <w:fldChar w:fldCharType="end"/>
            </w:r>
          </w:hyperlink>
        </w:p>
        <w:p w14:paraId="37F3503A" w14:textId="1C37A0A8" w:rsidR="007F22B6" w:rsidRDefault="00B405D3">
          <w:pPr>
            <w:pStyle w:val="TOC2"/>
            <w:tabs>
              <w:tab w:val="right" w:pos="9350"/>
            </w:tabs>
            <w:rPr>
              <w:rFonts w:asciiTheme="minorHAnsi" w:eastAsiaTheme="minorEastAsia" w:hAnsiTheme="minorHAnsi" w:cstheme="minorBidi"/>
              <w:noProof/>
              <w:lang w:val="en-US"/>
            </w:rPr>
          </w:pPr>
          <w:hyperlink w:anchor="_Toc82352544" w:history="1">
            <w:r w:rsidR="007F22B6" w:rsidRPr="00433EBE">
              <w:rPr>
                <w:rStyle w:val="Hyperlink"/>
                <w:noProof/>
                <w:lang w:val="en-GB"/>
              </w:rPr>
              <w:t>2.4 Common Themes and Areas for Action</w:t>
            </w:r>
            <w:r w:rsidR="007F22B6">
              <w:rPr>
                <w:noProof/>
                <w:webHidden/>
              </w:rPr>
              <w:tab/>
            </w:r>
            <w:r w:rsidR="007F22B6">
              <w:rPr>
                <w:noProof/>
                <w:webHidden/>
              </w:rPr>
              <w:fldChar w:fldCharType="begin"/>
            </w:r>
            <w:r w:rsidR="007F22B6">
              <w:rPr>
                <w:noProof/>
                <w:webHidden/>
              </w:rPr>
              <w:instrText xml:space="preserve"> PAGEREF _Toc82352544 \h </w:instrText>
            </w:r>
            <w:r w:rsidR="007F22B6">
              <w:rPr>
                <w:noProof/>
                <w:webHidden/>
              </w:rPr>
            </w:r>
            <w:r w:rsidR="007F22B6">
              <w:rPr>
                <w:noProof/>
                <w:webHidden/>
              </w:rPr>
              <w:fldChar w:fldCharType="separate"/>
            </w:r>
            <w:r>
              <w:rPr>
                <w:noProof/>
                <w:webHidden/>
              </w:rPr>
              <w:t>13</w:t>
            </w:r>
            <w:r w:rsidR="007F22B6">
              <w:rPr>
                <w:noProof/>
                <w:webHidden/>
              </w:rPr>
              <w:fldChar w:fldCharType="end"/>
            </w:r>
          </w:hyperlink>
        </w:p>
        <w:p w14:paraId="0C598F13" w14:textId="30E3A1E8" w:rsidR="007F22B6" w:rsidRDefault="00B405D3">
          <w:pPr>
            <w:pStyle w:val="TOC1"/>
            <w:tabs>
              <w:tab w:val="left" w:pos="440"/>
              <w:tab w:val="right" w:pos="9350"/>
            </w:tabs>
            <w:rPr>
              <w:rFonts w:asciiTheme="minorHAnsi" w:eastAsiaTheme="minorEastAsia" w:hAnsiTheme="minorHAnsi" w:cstheme="minorBidi"/>
              <w:noProof/>
              <w:lang w:val="en-US"/>
            </w:rPr>
          </w:pPr>
          <w:hyperlink w:anchor="_Toc82352545" w:history="1">
            <w:r w:rsidR="007F22B6" w:rsidRPr="00433EBE">
              <w:rPr>
                <w:rStyle w:val="Hyperlink"/>
                <w:noProof/>
                <w:lang w:val="en-GB"/>
              </w:rPr>
              <w:t>3.</w:t>
            </w:r>
            <w:r w:rsidR="007F22B6">
              <w:rPr>
                <w:rFonts w:asciiTheme="minorHAnsi" w:eastAsiaTheme="minorEastAsia" w:hAnsiTheme="minorHAnsi" w:cstheme="minorBidi"/>
                <w:noProof/>
                <w:lang w:val="en-US"/>
              </w:rPr>
              <w:tab/>
            </w:r>
            <w:r w:rsidR="007F22B6" w:rsidRPr="00433EBE">
              <w:rPr>
                <w:rStyle w:val="Hyperlink"/>
                <w:noProof/>
                <w:lang w:val="en-GB"/>
              </w:rPr>
              <w:t>The Role of IoT in Sustainability</w:t>
            </w:r>
            <w:r w:rsidR="007F22B6">
              <w:rPr>
                <w:noProof/>
                <w:webHidden/>
              </w:rPr>
              <w:tab/>
            </w:r>
            <w:r w:rsidR="007F22B6">
              <w:rPr>
                <w:noProof/>
                <w:webHidden/>
              </w:rPr>
              <w:fldChar w:fldCharType="begin"/>
            </w:r>
            <w:r w:rsidR="007F22B6">
              <w:rPr>
                <w:noProof/>
                <w:webHidden/>
              </w:rPr>
              <w:instrText xml:space="preserve"> PAGEREF _Toc82352545 \h </w:instrText>
            </w:r>
            <w:r w:rsidR="007F22B6">
              <w:rPr>
                <w:noProof/>
                <w:webHidden/>
              </w:rPr>
            </w:r>
            <w:r w:rsidR="007F22B6">
              <w:rPr>
                <w:noProof/>
                <w:webHidden/>
              </w:rPr>
              <w:fldChar w:fldCharType="separate"/>
            </w:r>
            <w:r>
              <w:rPr>
                <w:noProof/>
                <w:webHidden/>
              </w:rPr>
              <w:t>15</w:t>
            </w:r>
            <w:r w:rsidR="007F22B6">
              <w:rPr>
                <w:noProof/>
                <w:webHidden/>
              </w:rPr>
              <w:fldChar w:fldCharType="end"/>
            </w:r>
          </w:hyperlink>
        </w:p>
        <w:p w14:paraId="62D282C0" w14:textId="1B966F60" w:rsidR="007F22B6" w:rsidRDefault="00B405D3">
          <w:pPr>
            <w:pStyle w:val="TOC2"/>
            <w:tabs>
              <w:tab w:val="right" w:pos="9350"/>
            </w:tabs>
            <w:rPr>
              <w:rFonts w:asciiTheme="minorHAnsi" w:eastAsiaTheme="minorEastAsia" w:hAnsiTheme="minorHAnsi" w:cstheme="minorBidi"/>
              <w:noProof/>
              <w:lang w:val="en-US"/>
            </w:rPr>
          </w:pPr>
          <w:hyperlink w:anchor="_Toc82352546" w:history="1">
            <w:r w:rsidR="007F22B6" w:rsidRPr="00433EBE">
              <w:rPr>
                <w:rStyle w:val="Hyperlink"/>
                <w:noProof/>
                <w:lang w:val="en-GB"/>
              </w:rPr>
              <w:t>3.1 Examples of IoT in Enabling Sustainability</w:t>
            </w:r>
            <w:r w:rsidR="007F22B6">
              <w:rPr>
                <w:noProof/>
                <w:webHidden/>
              </w:rPr>
              <w:tab/>
            </w:r>
            <w:r w:rsidR="007F22B6">
              <w:rPr>
                <w:noProof/>
                <w:webHidden/>
              </w:rPr>
              <w:fldChar w:fldCharType="begin"/>
            </w:r>
            <w:r w:rsidR="007F22B6">
              <w:rPr>
                <w:noProof/>
                <w:webHidden/>
              </w:rPr>
              <w:instrText xml:space="preserve"> PAGEREF _Toc82352546 \h </w:instrText>
            </w:r>
            <w:r w:rsidR="007F22B6">
              <w:rPr>
                <w:noProof/>
                <w:webHidden/>
              </w:rPr>
            </w:r>
            <w:r w:rsidR="007F22B6">
              <w:rPr>
                <w:noProof/>
                <w:webHidden/>
              </w:rPr>
              <w:fldChar w:fldCharType="separate"/>
            </w:r>
            <w:r>
              <w:rPr>
                <w:noProof/>
                <w:webHidden/>
              </w:rPr>
              <w:t>17</w:t>
            </w:r>
            <w:r w:rsidR="007F22B6">
              <w:rPr>
                <w:noProof/>
                <w:webHidden/>
              </w:rPr>
              <w:fldChar w:fldCharType="end"/>
            </w:r>
          </w:hyperlink>
        </w:p>
        <w:p w14:paraId="40EED817" w14:textId="080B1C68" w:rsidR="007F22B6" w:rsidRDefault="00B405D3">
          <w:pPr>
            <w:pStyle w:val="TOC1"/>
            <w:tabs>
              <w:tab w:val="left" w:pos="440"/>
              <w:tab w:val="right" w:pos="9350"/>
            </w:tabs>
            <w:rPr>
              <w:rFonts w:asciiTheme="minorHAnsi" w:eastAsiaTheme="minorEastAsia" w:hAnsiTheme="minorHAnsi" w:cstheme="minorBidi"/>
              <w:noProof/>
              <w:lang w:val="en-US"/>
            </w:rPr>
          </w:pPr>
          <w:hyperlink w:anchor="_Toc82352547" w:history="1">
            <w:r w:rsidR="007F22B6" w:rsidRPr="00433EBE">
              <w:rPr>
                <w:rStyle w:val="Hyperlink"/>
                <w:noProof/>
                <w:lang w:val="en-GB"/>
              </w:rPr>
              <w:t>4.</w:t>
            </w:r>
            <w:r w:rsidR="007F22B6">
              <w:rPr>
                <w:rFonts w:asciiTheme="minorHAnsi" w:eastAsiaTheme="minorEastAsia" w:hAnsiTheme="minorHAnsi" w:cstheme="minorBidi"/>
                <w:noProof/>
                <w:lang w:val="en-US"/>
              </w:rPr>
              <w:tab/>
            </w:r>
            <w:r w:rsidR="007F22B6" w:rsidRPr="00433EBE">
              <w:rPr>
                <w:rStyle w:val="Hyperlink"/>
                <w:noProof/>
                <w:lang w:val="en-GB"/>
              </w:rPr>
              <w:t>Principles for Sustainable Design</w:t>
            </w:r>
            <w:r w:rsidR="007F22B6">
              <w:rPr>
                <w:noProof/>
                <w:webHidden/>
              </w:rPr>
              <w:tab/>
            </w:r>
            <w:r w:rsidR="007F22B6">
              <w:rPr>
                <w:noProof/>
                <w:webHidden/>
              </w:rPr>
              <w:fldChar w:fldCharType="begin"/>
            </w:r>
            <w:r w:rsidR="007F22B6">
              <w:rPr>
                <w:noProof/>
                <w:webHidden/>
              </w:rPr>
              <w:instrText xml:space="preserve"> PAGEREF _Toc82352547 \h </w:instrText>
            </w:r>
            <w:r w:rsidR="007F22B6">
              <w:rPr>
                <w:noProof/>
                <w:webHidden/>
              </w:rPr>
            </w:r>
            <w:r w:rsidR="007F22B6">
              <w:rPr>
                <w:noProof/>
                <w:webHidden/>
              </w:rPr>
              <w:fldChar w:fldCharType="separate"/>
            </w:r>
            <w:r>
              <w:rPr>
                <w:noProof/>
                <w:webHidden/>
              </w:rPr>
              <w:t>19</w:t>
            </w:r>
            <w:r w:rsidR="007F22B6">
              <w:rPr>
                <w:noProof/>
                <w:webHidden/>
              </w:rPr>
              <w:fldChar w:fldCharType="end"/>
            </w:r>
          </w:hyperlink>
        </w:p>
        <w:p w14:paraId="25E4CA1E" w14:textId="1186A068" w:rsidR="007F22B6" w:rsidRDefault="00B405D3">
          <w:pPr>
            <w:pStyle w:val="TOC2"/>
            <w:tabs>
              <w:tab w:val="right" w:pos="9350"/>
            </w:tabs>
            <w:rPr>
              <w:rFonts w:asciiTheme="minorHAnsi" w:eastAsiaTheme="minorEastAsia" w:hAnsiTheme="minorHAnsi" w:cstheme="minorBidi"/>
              <w:noProof/>
              <w:lang w:val="en-US"/>
            </w:rPr>
          </w:pPr>
          <w:hyperlink w:anchor="_Toc82352548" w:history="1">
            <w:r w:rsidR="007F22B6" w:rsidRPr="00433EBE">
              <w:rPr>
                <w:rStyle w:val="Hyperlink"/>
                <w:noProof/>
                <w:lang w:val="en-GB"/>
              </w:rPr>
              <w:t>4.1. Invest ‘Horizontally’ to Maximize Reuse and Longevity</w:t>
            </w:r>
            <w:r w:rsidR="007F22B6">
              <w:rPr>
                <w:noProof/>
                <w:webHidden/>
              </w:rPr>
              <w:tab/>
            </w:r>
            <w:r w:rsidR="007F22B6">
              <w:rPr>
                <w:noProof/>
                <w:webHidden/>
              </w:rPr>
              <w:fldChar w:fldCharType="begin"/>
            </w:r>
            <w:r w:rsidR="007F22B6">
              <w:rPr>
                <w:noProof/>
                <w:webHidden/>
              </w:rPr>
              <w:instrText xml:space="preserve"> PAGEREF _Toc82352548 \h </w:instrText>
            </w:r>
            <w:r w:rsidR="007F22B6">
              <w:rPr>
                <w:noProof/>
                <w:webHidden/>
              </w:rPr>
            </w:r>
            <w:r w:rsidR="007F22B6">
              <w:rPr>
                <w:noProof/>
                <w:webHidden/>
              </w:rPr>
              <w:fldChar w:fldCharType="separate"/>
            </w:r>
            <w:r>
              <w:rPr>
                <w:noProof/>
                <w:webHidden/>
              </w:rPr>
              <w:t>19</w:t>
            </w:r>
            <w:r w:rsidR="007F22B6">
              <w:rPr>
                <w:noProof/>
                <w:webHidden/>
              </w:rPr>
              <w:fldChar w:fldCharType="end"/>
            </w:r>
          </w:hyperlink>
        </w:p>
        <w:p w14:paraId="552A999E" w14:textId="30F7F8C4" w:rsidR="007F22B6" w:rsidRDefault="00B405D3">
          <w:pPr>
            <w:pStyle w:val="TOC2"/>
            <w:tabs>
              <w:tab w:val="right" w:pos="9350"/>
            </w:tabs>
            <w:rPr>
              <w:rFonts w:asciiTheme="minorHAnsi" w:eastAsiaTheme="minorEastAsia" w:hAnsiTheme="minorHAnsi" w:cstheme="minorBidi"/>
              <w:noProof/>
              <w:lang w:val="en-US"/>
            </w:rPr>
          </w:pPr>
          <w:hyperlink w:anchor="_Toc82352549" w:history="1">
            <w:r w:rsidR="007F22B6" w:rsidRPr="00433EBE">
              <w:rPr>
                <w:rStyle w:val="Hyperlink"/>
                <w:noProof/>
                <w:lang w:val="en-GB"/>
              </w:rPr>
              <w:t>4.2. Principles for Designing Sustainability</w:t>
            </w:r>
            <w:r w:rsidR="007F22B6">
              <w:rPr>
                <w:noProof/>
                <w:webHidden/>
              </w:rPr>
              <w:tab/>
            </w:r>
            <w:r w:rsidR="007F22B6">
              <w:rPr>
                <w:noProof/>
                <w:webHidden/>
              </w:rPr>
              <w:fldChar w:fldCharType="begin"/>
            </w:r>
            <w:r w:rsidR="007F22B6">
              <w:rPr>
                <w:noProof/>
                <w:webHidden/>
              </w:rPr>
              <w:instrText xml:space="preserve"> PAGEREF _Toc82352549 \h </w:instrText>
            </w:r>
            <w:r w:rsidR="007F22B6">
              <w:rPr>
                <w:noProof/>
                <w:webHidden/>
              </w:rPr>
            </w:r>
            <w:r w:rsidR="007F22B6">
              <w:rPr>
                <w:noProof/>
                <w:webHidden/>
              </w:rPr>
              <w:fldChar w:fldCharType="separate"/>
            </w:r>
            <w:r>
              <w:rPr>
                <w:noProof/>
                <w:webHidden/>
              </w:rPr>
              <w:t>20</w:t>
            </w:r>
            <w:r w:rsidR="007F22B6">
              <w:rPr>
                <w:noProof/>
                <w:webHidden/>
              </w:rPr>
              <w:fldChar w:fldCharType="end"/>
            </w:r>
          </w:hyperlink>
        </w:p>
        <w:p w14:paraId="5E542F7E" w14:textId="49BEEF04" w:rsidR="007F22B6" w:rsidRDefault="00B405D3">
          <w:pPr>
            <w:pStyle w:val="TOC2"/>
            <w:tabs>
              <w:tab w:val="right" w:pos="9350"/>
            </w:tabs>
            <w:rPr>
              <w:rFonts w:asciiTheme="minorHAnsi" w:eastAsiaTheme="minorEastAsia" w:hAnsiTheme="minorHAnsi" w:cstheme="minorBidi"/>
              <w:noProof/>
              <w:lang w:val="en-US"/>
            </w:rPr>
          </w:pPr>
          <w:hyperlink w:anchor="_Toc82352550" w:history="1">
            <w:r w:rsidR="007F22B6" w:rsidRPr="00433EBE">
              <w:rPr>
                <w:rStyle w:val="Hyperlink"/>
                <w:noProof/>
                <w:lang w:val="en-GB"/>
              </w:rPr>
              <w:t>4.3 Application of Sustainable Technologies</w:t>
            </w:r>
            <w:r w:rsidR="007F22B6">
              <w:rPr>
                <w:noProof/>
                <w:webHidden/>
              </w:rPr>
              <w:tab/>
            </w:r>
            <w:r w:rsidR="007F22B6">
              <w:rPr>
                <w:noProof/>
                <w:webHidden/>
              </w:rPr>
              <w:fldChar w:fldCharType="begin"/>
            </w:r>
            <w:r w:rsidR="007F22B6">
              <w:rPr>
                <w:noProof/>
                <w:webHidden/>
              </w:rPr>
              <w:instrText xml:space="preserve"> PAGEREF _Toc82352550 \h </w:instrText>
            </w:r>
            <w:r w:rsidR="007F22B6">
              <w:rPr>
                <w:noProof/>
                <w:webHidden/>
              </w:rPr>
            </w:r>
            <w:r w:rsidR="007F22B6">
              <w:rPr>
                <w:noProof/>
                <w:webHidden/>
              </w:rPr>
              <w:fldChar w:fldCharType="separate"/>
            </w:r>
            <w:r>
              <w:rPr>
                <w:noProof/>
                <w:webHidden/>
              </w:rPr>
              <w:t>21</w:t>
            </w:r>
            <w:r w:rsidR="007F22B6">
              <w:rPr>
                <w:noProof/>
                <w:webHidden/>
              </w:rPr>
              <w:fldChar w:fldCharType="end"/>
            </w:r>
          </w:hyperlink>
        </w:p>
        <w:p w14:paraId="5EAEE098" w14:textId="1A025899" w:rsidR="007F22B6" w:rsidRDefault="00B405D3">
          <w:pPr>
            <w:pStyle w:val="TOC2"/>
            <w:tabs>
              <w:tab w:val="right" w:pos="9350"/>
            </w:tabs>
            <w:rPr>
              <w:rFonts w:asciiTheme="minorHAnsi" w:eastAsiaTheme="minorEastAsia" w:hAnsiTheme="minorHAnsi" w:cstheme="minorBidi"/>
              <w:noProof/>
              <w:lang w:val="en-US"/>
            </w:rPr>
          </w:pPr>
          <w:hyperlink w:anchor="_Toc82352551" w:history="1">
            <w:r w:rsidR="007F22B6" w:rsidRPr="00433EBE">
              <w:rPr>
                <w:rStyle w:val="Hyperlink"/>
                <w:noProof/>
                <w:lang w:val="en-GB"/>
              </w:rPr>
              <w:t>4.4. A Framework to Preserve Legacy System Investments</w:t>
            </w:r>
            <w:r w:rsidR="007F22B6">
              <w:rPr>
                <w:noProof/>
                <w:webHidden/>
              </w:rPr>
              <w:tab/>
            </w:r>
            <w:r w:rsidR="007F22B6">
              <w:rPr>
                <w:noProof/>
                <w:webHidden/>
              </w:rPr>
              <w:fldChar w:fldCharType="begin"/>
            </w:r>
            <w:r w:rsidR="007F22B6">
              <w:rPr>
                <w:noProof/>
                <w:webHidden/>
              </w:rPr>
              <w:instrText xml:space="preserve"> PAGEREF _Toc82352551 \h </w:instrText>
            </w:r>
            <w:r w:rsidR="007F22B6">
              <w:rPr>
                <w:noProof/>
                <w:webHidden/>
              </w:rPr>
            </w:r>
            <w:r w:rsidR="007F22B6">
              <w:rPr>
                <w:noProof/>
                <w:webHidden/>
              </w:rPr>
              <w:fldChar w:fldCharType="separate"/>
            </w:r>
            <w:r>
              <w:rPr>
                <w:noProof/>
                <w:webHidden/>
              </w:rPr>
              <w:t>22</w:t>
            </w:r>
            <w:r w:rsidR="007F22B6">
              <w:rPr>
                <w:noProof/>
                <w:webHidden/>
              </w:rPr>
              <w:fldChar w:fldCharType="end"/>
            </w:r>
          </w:hyperlink>
        </w:p>
        <w:p w14:paraId="75EB0FAA" w14:textId="0F9327AD" w:rsidR="007F22B6" w:rsidRDefault="00B405D3">
          <w:pPr>
            <w:pStyle w:val="TOC1"/>
            <w:tabs>
              <w:tab w:val="left" w:pos="440"/>
              <w:tab w:val="right" w:pos="9350"/>
            </w:tabs>
            <w:rPr>
              <w:rFonts w:asciiTheme="minorHAnsi" w:eastAsiaTheme="minorEastAsia" w:hAnsiTheme="minorHAnsi" w:cstheme="minorBidi"/>
              <w:noProof/>
              <w:lang w:val="en-US"/>
            </w:rPr>
          </w:pPr>
          <w:hyperlink w:anchor="_Toc82352552" w:history="1">
            <w:r w:rsidR="007F22B6" w:rsidRPr="00433EBE">
              <w:rPr>
                <w:rStyle w:val="Hyperlink"/>
                <w:noProof/>
                <w:lang w:val="en-GB"/>
              </w:rPr>
              <w:t>5.</w:t>
            </w:r>
            <w:r w:rsidR="007F22B6">
              <w:rPr>
                <w:rFonts w:asciiTheme="minorHAnsi" w:eastAsiaTheme="minorEastAsia" w:hAnsiTheme="minorHAnsi" w:cstheme="minorBidi"/>
                <w:noProof/>
                <w:lang w:val="en-US"/>
              </w:rPr>
              <w:tab/>
            </w:r>
            <w:r w:rsidR="007F22B6" w:rsidRPr="00433EBE">
              <w:rPr>
                <w:rStyle w:val="Hyperlink"/>
                <w:noProof/>
                <w:lang w:val="en-GB"/>
              </w:rPr>
              <w:t>Future Directions for IoT and Sustainability</w:t>
            </w:r>
            <w:r w:rsidR="007F22B6">
              <w:rPr>
                <w:noProof/>
                <w:webHidden/>
              </w:rPr>
              <w:tab/>
            </w:r>
            <w:r w:rsidR="007F22B6">
              <w:rPr>
                <w:noProof/>
                <w:webHidden/>
              </w:rPr>
              <w:fldChar w:fldCharType="begin"/>
            </w:r>
            <w:r w:rsidR="007F22B6">
              <w:rPr>
                <w:noProof/>
                <w:webHidden/>
              </w:rPr>
              <w:instrText xml:space="preserve"> PAGEREF _Toc82352552 \h </w:instrText>
            </w:r>
            <w:r w:rsidR="007F22B6">
              <w:rPr>
                <w:noProof/>
                <w:webHidden/>
              </w:rPr>
            </w:r>
            <w:r w:rsidR="007F22B6">
              <w:rPr>
                <w:noProof/>
                <w:webHidden/>
              </w:rPr>
              <w:fldChar w:fldCharType="separate"/>
            </w:r>
            <w:r>
              <w:rPr>
                <w:noProof/>
                <w:webHidden/>
              </w:rPr>
              <w:t>24</w:t>
            </w:r>
            <w:r w:rsidR="007F22B6">
              <w:rPr>
                <w:noProof/>
                <w:webHidden/>
              </w:rPr>
              <w:fldChar w:fldCharType="end"/>
            </w:r>
          </w:hyperlink>
        </w:p>
        <w:p w14:paraId="55C4F4E7" w14:textId="2CCE2E76" w:rsidR="007F22B6" w:rsidRDefault="00B405D3">
          <w:pPr>
            <w:pStyle w:val="TOC1"/>
            <w:tabs>
              <w:tab w:val="left" w:pos="440"/>
              <w:tab w:val="right" w:pos="9350"/>
            </w:tabs>
            <w:rPr>
              <w:rFonts w:asciiTheme="minorHAnsi" w:eastAsiaTheme="minorEastAsia" w:hAnsiTheme="minorHAnsi" w:cstheme="minorBidi"/>
              <w:noProof/>
              <w:lang w:val="en-US"/>
            </w:rPr>
          </w:pPr>
          <w:hyperlink w:anchor="_Toc82352553" w:history="1">
            <w:r w:rsidR="007F22B6" w:rsidRPr="00433EBE">
              <w:rPr>
                <w:rStyle w:val="Hyperlink"/>
                <w:noProof/>
                <w:lang w:val="en-GB"/>
              </w:rPr>
              <w:t>6.</w:t>
            </w:r>
            <w:r w:rsidR="007F22B6">
              <w:rPr>
                <w:rFonts w:asciiTheme="minorHAnsi" w:eastAsiaTheme="minorEastAsia" w:hAnsiTheme="minorHAnsi" w:cstheme="minorBidi"/>
                <w:noProof/>
                <w:lang w:val="en-US"/>
              </w:rPr>
              <w:tab/>
            </w:r>
            <w:r w:rsidR="007F22B6" w:rsidRPr="00433EBE">
              <w:rPr>
                <w:rStyle w:val="Hyperlink"/>
                <w:noProof/>
                <w:lang w:val="en-GB"/>
              </w:rPr>
              <w:t>Contributors</w:t>
            </w:r>
            <w:r w:rsidR="007F22B6">
              <w:rPr>
                <w:noProof/>
                <w:webHidden/>
              </w:rPr>
              <w:tab/>
            </w:r>
            <w:r w:rsidR="007F22B6">
              <w:rPr>
                <w:noProof/>
                <w:webHidden/>
              </w:rPr>
              <w:fldChar w:fldCharType="begin"/>
            </w:r>
            <w:r w:rsidR="007F22B6">
              <w:rPr>
                <w:noProof/>
                <w:webHidden/>
              </w:rPr>
              <w:instrText xml:space="preserve"> PAGEREF _Toc82352553 \h </w:instrText>
            </w:r>
            <w:r w:rsidR="007F22B6">
              <w:rPr>
                <w:noProof/>
                <w:webHidden/>
              </w:rPr>
            </w:r>
            <w:r w:rsidR="007F22B6">
              <w:rPr>
                <w:noProof/>
                <w:webHidden/>
              </w:rPr>
              <w:fldChar w:fldCharType="separate"/>
            </w:r>
            <w:r>
              <w:rPr>
                <w:noProof/>
                <w:webHidden/>
              </w:rPr>
              <w:t>26</w:t>
            </w:r>
            <w:r w:rsidR="007F22B6">
              <w:rPr>
                <w:noProof/>
                <w:webHidden/>
              </w:rPr>
              <w:fldChar w:fldCharType="end"/>
            </w:r>
          </w:hyperlink>
        </w:p>
        <w:p w14:paraId="0000008B" w14:textId="3FAFA950" w:rsidR="00524B6B" w:rsidRPr="00E60410" w:rsidRDefault="00BD3B1B">
          <w:pPr>
            <w:tabs>
              <w:tab w:val="right" w:pos="9360"/>
            </w:tabs>
            <w:spacing w:before="60" w:after="80" w:line="240" w:lineRule="auto"/>
            <w:ind w:left="360"/>
            <w:rPr>
              <w:color w:val="000000"/>
              <w:lang w:val="en-GB"/>
            </w:rPr>
          </w:pPr>
          <w:r w:rsidRPr="00E60410">
            <w:rPr>
              <w:lang w:val="en-GB"/>
            </w:rPr>
            <w:fldChar w:fldCharType="end"/>
          </w:r>
        </w:p>
      </w:sdtContent>
    </w:sdt>
    <w:p w14:paraId="4A952E78" w14:textId="060E2F10" w:rsidR="00827352" w:rsidRDefault="00827352" w:rsidP="00827352">
      <w:pPr>
        <w:jc w:val="center"/>
        <w:rPr>
          <w:lang w:val="en-GB"/>
        </w:rPr>
      </w:pPr>
    </w:p>
    <w:p w14:paraId="1863D336" w14:textId="77777777" w:rsidR="003C13F9" w:rsidRDefault="003C13F9">
      <w:pPr>
        <w:rPr>
          <w:sz w:val="40"/>
          <w:szCs w:val="40"/>
          <w:lang w:val="en-GB"/>
        </w:rPr>
      </w:pPr>
      <w:r>
        <w:rPr>
          <w:lang w:val="en-GB"/>
        </w:rPr>
        <w:br w:type="page"/>
      </w:r>
    </w:p>
    <w:p w14:paraId="440DAA63" w14:textId="4B0EF899" w:rsidR="009A0A15" w:rsidRDefault="009A0A15" w:rsidP="009A0A15">
      <w:pPr>
        <w:pStyle w:val="Heading1"/>
        <w:rPr>
          <w:lang w:val="en-GB"/>
        </w:rPr>
      </w:pPr>
      <w:bookmarkStart w:id="0" w:name="_Toc82352535"/>
      <w:r>
        <w:rPr>
          <w:lang w:val="en-GB"/>
        </w:rPr>
        <w:lastRenderedPageBreak/>
        <w:t>Executive Summary</w:t>
      </w:r>
      <w:bookmarkEnd w:id="0"/>
    </w:p>
    <w:p w14:paraId="4EBE61F3" w14:textId="4DBF35BE" w:rsidR="00E277D2" w:rsidRDefault="00AE0E90" w:rsidP="009A0A15">
      <w:pPr>
        <w:rPr>
          <w:lang w:val="en-GB"/>
        </w:rPr>
      </w:pPr>
      <w:r>
        <w:rPr>
          <w:lang w:val="en-GB"/>
        </w:rPr>
        <w:t>The topic of s</w:t>
      </w:r>
      <w:r w:rsidR="00742BDB">
        <w:rPr>
          <w:lang w:val="en-GB"/>
        </w:rPr>
        <w:t xml:space="preserve">ustainability </w:t>
      </w:r>
      <w:r w:rsidR="003C13F9">
        <w:rPr>
          <w:lang w:val="en-GB"/>
        </w:rPr>
        <w:t xml:space="preserve">has never been </w:t>
      </w:r>
      <w:r w:rsidR="00742BDB">
        <w:rPr>
          <w:lang w:val="en-GB"/>
        </w:rPr>
        <w:t>high</w:t>
      </w:r>
      <w:r w:rsidR="003C13F9">
        <w:rPr>
          <w:lang w:val="en-GB"/>
        </w:rPr>
        <w:t>er</w:t>
      </w:r>
      <w:r w:rsidR="00742BDB">
        <w:rPr>
          <w:lang w:val="en-GB"/>
        </w:rPr>
        <w:t xml:space="preserve"> on society’s agenda</w:t>
      </w:r>
      <w:r w:rsidR="003C13F9">
        <w:rPr>
          <w:lang w:val="en-GB"/>
        </w:rPr>
        <w:t xml:space="preserve"> than it is at the present</w:t>
      </w:r>
      <w:r w:rsidR="00BC2252">
        <w:rPr>
          <w:lang w:val="en-GB"/>
        </w:rPr>
        <w:t xml:space="preserve">. This is </w:t>
      </w:r>
      <w:r>
        <w:rPr>
          <w:lang w:val="en-GB"/>
        </w:rPr>
        <w:t xml:space="preserve">partly </w:t>
      </w:r>
      <w:r w:rsidR="00BC2252">
        <w:rPr>
          <w:lang w:val="en-GB"/>
        </w:rPr>
        <w:t xml:space="preserve">a reaction to </w:t>
      </w:r>
      <w:r w:rsidR="00742BDB">
        <w:rPr>
          <w:lang w:val="en-GB"/>
        </w:rPr>
        <w:t xml:space="preserve">alarms raised </w:t>
      </w:r>
      <w:r w:rsidR="00BC2252">
        <w:rPr>
          <w:lang w:val="en-GB"/>
        </w:rPr>
        <w:t xml:space="preserve">by </w:t>
      </w:r>
      <w:r w:rsidR="00742BDB">
        <w:rPr>
          <w:lang w:val="en-GB"/>
        </w:rPr>
        <w:t>the scientific community</w:t>
      </w:r>
      <w:r w:rsidR="00BC2252">
        <w:rPr>
          <w:lang w:val="en-GB"/>
        </w:rPr>
        <w:t xml:space="preserve">. It is also a recognition, by </w:t>
      </w:r>
      <w:r w:rsidR="00742BDB">
        <w:rPr>
          <w:lang w:val="en-GB"/>
        </w:rPr>
        <w:t>political and business leaders</w:t>
      </w:r>
      <w:r w:rsidR="00BC2252">
        <w:rPr>
          <w:lang w:val="en-GB"/>
        </w:rPr>
        <w:t>,</w:t>
      </w:r>
      <w:r w:rsidR="00742BDB">
        <w:rPr>
          <w:lang w:val="en-GB"/>
        </w:rPr>
        <w:t xml:space="preserve"> that current approaches to managing the earth’s resources are unsustainable and require action. </w:t>
      </w:r>
    </w:p>
    <w:p w14:paraId="0C206DD5" w14:textId="77777777" w:rsidR="00E277D2" w:rsidRDefault="00E277D2" w:rsidP="009A0A15">
      <w:pPr>
        <w:rPr>
          <w:lang w:val="en-GB"/>
        </w:rPr>
      </w:pPr>
    </w:p>
    <w:p w14:paraId="114A8426" w14:textId="248B8C49" w:rsidR="009A0A15" w:rsidRDefault="00DD3D52" w:rsidP="009A0A15">
      <w:pPr>
        <w:rPr>
          <w:lang w:val="en-GB"/>
        </w:rPr>
      </w:pPr>
      <w:r>
        <w:rPr>
          <w:lang w:val="en-GB"/>
        </w:rPr>
        <w:t xml:space="preserve">A </w:t>
      </w:r>
      <w:r w:rsidR="003C13F9">
        <w:rPr>
          <w:lang w:val="en-GB"/>
        </w:rPr>
        <w:t xml:space="preserve">way forward </w:t>
      </w:r>
      <w:r w:rsidR="00E277D2">
        <w:rPr>
          <w:lang w:val="en-GB"/>
        </w:rPr>
        <w:t>is complicated</w:t>
      </w:r>
      <w:r w:rsidR="003C13F9">
        <w:rPr>
          <w:lang w:val="en-GB"/>
        </w:rPr>
        <w:t xml:space="preserve"> </w:t>
      </w:r>
      <w:r w:rsidR="00E277D2">
        <w:rPr>
          <w:lang w:val="en-GB"/>
        </w:rPr>
        <w:t xml:space="preserve">because of </w:t>
      </w:r>
      <w:r w:rsidR="00742BDB">
        <w:rPr>
          <w:lang w:val="en-GB"/>
        </w:rPr>
        <w:t>differing interpretations of sustainability</w:t>
      </w:r>
      <w:r w:rsidR="00930529">
        <w:rPr>
          <w:lang w:val="en-GB"/>
        </w:rPr>
        <w:t>, a hesitancy about fundamental change</w:t>
      </w:r>
      <w:r w:rsidR="003C13F9">
        <w:rPr>
          <w:lang w:val="en-GB"/>
        </w:rPr>
        <w:t xml:space="preserve"> and</w:t>
      </w:r>
      <w:r w:rsidR="00930529">
        <w:rPr>
          <w:lang w:val="en-GB"/>
        </w:rPr>
        <w:t>,</w:t>
      </w:r>
      <w:r w:rsidR="003C13F9">
        <w:rPr>
          <w:lang w:val="en-GB"/>
        </w:rPr>
        <w:t xml:space="preserve"> a </w:t>
      </w:r>
      <w:r w:rsidR="00742BDB">
        <w:rPr>
          <w:lang w:val="en-GB"/>
        </w:rPr>
        <w:t xml:space="preserve">scope </w:t>
      </w:r>
      <w:r w:rsidR="003C13F9">
        <w:rPr>
          <w:lang w:val="en-GB"/>
        </w:rPr>
        <w:t xml:space="preserve">that </w:t>
      </w:r>
      <w:r w:rsidR="00AE0E90">
        <w:rPr>
          <w:lang w:val="en-GB"/>
        </w:rPr>
        <w:t xml:space="preserve">covers </w:t>
      </w:r>
      <w:r w:rsidR="00742BDB">
        <w:rPr>
          <w:lang w:val="en-GB"/>
        </w:rPr>
        <w:t>environmental, social and governance matters.</w:t>
      </w:r>
      <w:r w:rsidR="00BC2252">
        <w:rPr>
          <w:lang w:val="en-GB"/>
        </w:rPr>
        <w:t xml:space="preserve"> </w:t>
      </w:r>
      <w:r w:rsidR="003C13F9">
        <w:rPr>
          <w:lang w:val="en-GB"/>
        </w:rPr>
        <w:t>Bit by bit</w:t>
      </w:r>
      <w:r w:rsidR="00AE0E90">
        <w:rPr>
          <w:lang w:val="en-GB"/>
        </w:rPr>
        <w:t xml:space="preserve">, </w:t>
      </w:r>
      <w:r w:rsidR="00930529">
        <w:rPr>
          <w:lang w:val="en-GB"/>
        </w:rPr>
        <w:t xml:space="preserve">however, </w:t>
      </w:r>
      <w:r w:rsidR="00AE0E90">
        <w:rPr>
          <w:lang w:val="en-GB"/>
        </w:rPr>
        <w:t>i</w:t>
      </w:r>
      <w:r w:rsidR="00BC2252">
        <w:rPr>
          <w:lang w:val="en-GB"/>
        </w:rPr>
        <w:t xml:space="preserve">ndividuals and organizations are </w:t>
      </w:r>
      <w:r w:rsidR="00AE0E90">
        <w:rPr>
          <w:lang w:val="en-GB"/>
        </w:rPr>
        <w:t>taking action</w:t>
      </w:r>
      <w:r w:rsidR="00BC2252">
        <w:rPr>
          <w:lang w:val="en-GB"/>
        </w:rPr>
        <w:t xml:space="preserve">. There are </w:t>
      </w:r>
      <w:r w:rsidR="00930529">
        <w:rPr>
          <w:lang w:val="en-GB"/>
        </w:rPr>
        <w:t xml:space="preserve">many cases of </w:t>
      </w:r>
      <w:r w:rsidR="00BC2252">
        <w:rPr>
          <w:lang w:val="en-GB"/>
        </w:rPr>
        <w:t xml:space="preserve">corporate and national </w:t>
      </w:r>
      <w:r w:rsidR="00930529">
        <w:rPr>
          <w:lang w:val="en-GB"/>
        </w:rPr>
        <w:t xml:space="preserve">goals </w:t>
      </w:r>
      <w:r w:rsidR="00BC2252">
        <w:rPr>
          <w:lang w:val="en-GB"/>
        </w:rPr>
        <w:t xml:space="preserve">to </w:t>
      </w:r>
      <w:r w:rsidR="00930529">
        <w:rPr>
          <w:lang w:val="en-GB"/>
        </w:rPr>
        <w:t xml:space="preserve">achieve </w:t>
      </w:r>
      <w:r w:rsidR="00BC2252">
        <w:rPr>
          <w:lang w:val="en-GB"/>
        </w:rPr>
        <w:t xml:space="preserve">net-zero emissions by 2050. </w:t>
      </w:r>
      <w:r w:rsidR="003C13F9">
        <w:rPr>
          <w:lang w:val="en-GB"/>
        </w:rPr>
        <w:t xml:space="preserve">At a regional level, the </w:t>
      </w:r>
      <w:r w:rsidR="00BC2252">
        <w:rPr>
          <w:lang w:val="en-GB"/>
        </w:rPr>
        <w:t>European Union</w:t>
      </w:r>
      <w:r w:rsidR="00AE0E90">
        <w:rPr>
          <w:lang w:val="en-GB"/>
        </w:rPr>
        <w:t xml:space="preserve"> </w:t>
      </w:r>
      <w:r w:rsidR="00930529">
        <w:rPr>
          <w:lang w:val="en-GB"/>
        </w:rPr>
        <w:t xml:space="preserve">made </w:t>
      </w:r>
      <w:r w:rsidR="00AE0E90">
        <w:rPr>
          <w:lang w:val="en-GB"/>
        </w:rPr>
        <w:t xml:space="preserve">a major commitment through its </w:t>
      </w:r>
      <w:r w:rsidR="00BC2252">
        <w:rPr>
          <w:lang w:val="en-GB"/>
        </w:rPr>
        <w:t>Green Deal</w:t>
      </w:r>
      <w:r w:rsidR="00AE0E90">
        <w:rPr>
          <w:lang w:val="en-GB"/>
        </w:rPr>
        <w:t xml:space="preserve"> initiative</w:t>
      </w:r>
      <w:r w:rsidR="00BC2252">
        <w:rPr>
          <w:lang w:val="en-GB"/>
        </w:rPr>
        <w:t xml:space="preserve">. </w:t>
      </w:r>
      <w:r w:rsidR="003C13F9">
        <w:rPr>
          <w:lang w:val="en-GB"/>
        </w:rPr>
        <w:t>Individual c</w:t>
      </w:r>
      <w:r w:rsidR="00BC2252">
        <w:rPr>
          <w:lang w:val="en-GB"/>
        </w:rPr>
        <w:t xml:space="preserve">orporations are implementing sustainability strategies and </w:t>
      </w:r>
      <w:r w:rsidR="00AE0E90">
        <w:rPr>
          <w:lang w:val="en-GB"/>
        </w:rPr>
        <w:t xml:space="preserve">committing to new </w:t>
      </w:r>
      <w:r w:rsidR="00BC2252">
        <w:rPr>
          <w:lang w:val="en-GB"/>
        </w:rPr>
        <w:t xml:space="preserve">reporting frameworks. Others are deploying technology-based solutions to enable sustainability in their </w:t>
      </w:r>
      <w:r w:rsidR="00013B3A">
        <w:rPr>
          <w:lang w:val="en-GB"/>
        </w:rPr>
        <w:t xml:space="preserve">business </w:t>
      </w:r>
      <w:r w:rsidR="00BC2252">
        <w:rPr>
          <w:lang w:val="en-GB"/>
        </w:rPr>
        <w:t xml:space="preserve">operations and </w:t>
      </w:r>
      <w:r w:rsidR="00013B3A">
        <w:rPr>
          <w:lang w:val="en-GB"/>
        </w:rPr>
        <w:t xml:space="preserve">as </w:t>
      </w:r>
      <w:r w:rsidR="003C13F9">
        <w:rPr>
          <w:lang w:val="en-GB"/>
        </w:rPr>
        <w:t xml:space="preserve">enabling </w:t>
      </w:r>
      <w:r w:rsidR="00BC2252">
        <w:rPr>
          <w:lang w:val="en-GB"/>
        </w:rPr>
        <w:t xml:space="preserve">solutions and services </w:t>
      </w:r>
      <w:r w:rsidR="00013B3A">
        <w:rPr>
          <w:lang w:val="en-GB"/>
        </w:rPr>
        <w:t xml:space="preserve">for </w:t>
      </w:r>
      <w:r w:rsidR="00BC2252">
        <w:rPr>
          <w:lang w:val="en-GB"/>
        </w:rPr>
        <w:t xml:space="preserve">their customers </w:t>
      </w:r>
      <w:r w:rsidR="00013B3A">
        <w:rPr>
          <w:lang w:val="en-GB"/>
        </w:rPr>
        <w:t xml:space="preserve">to </w:t>
      </w:r>
      <w:r w:rsidR="00BC2252">
        <w:rPr>
          <w:lang w:val="en-GB"/>
        </w:rPr>
        <w:t>deploy.</w:t>
      </w:r>
    </w:p>
    <w:p w14:paraId="0C0801F8" w14:textId="3000639A" w:rsidR="00742BDB" w:rsidRDefault="00742BDB" w:rsidP="009A0A15">
      <w:pPr>
        <w:rPr>
          <w:lang w:val="en-GB"/>
        </w:rPr>
      </w:pPr>
    </w:p>
    <w:p w14:paraId="19F9CAC9" w14:textId="3D189077" w:rsidR="00BC2252" w:rsidRDefault="00BC2252" w:rsidP="009A0A15">
      <w:pPr>
        <w:rPr>
          <w:lang w:val="en-GB"/>
        </w:rPr>
      </w:pPr>
      <w:r w:rsidRPr="009A0A15">
        <w:rPr>
          <w:lang w:val="en-GB"/>
        </w:rPr>
        <w:t>Mobile networks and IoT technologies are among the topmost candidates for enabling sustainability</w:t>
      </w:r>
      <w:r>
        <w:rPr>
          <w:lang w:val="en-GB"/>
        </w:rPr>
        <w:t xml:space="preserve">. </w:t>
      </w:r>
      <w:r w:rsidR="00930529">
        <w:rPr>
          <w:lang w:val="en-GB"/>
        </w:rPr>
        <w:t>Four capabilities – r</w:t>
      </w:r>
      <w:r>
        <w:rPr>
          <w:lang w:val="en-GB"/>
        </w:rPr>
        <w:t>emote connectivity, low-power and low-cost devices, IoT data and</w:t>
      </w:r>
      <w:r w:rsidR="00061E97">
        <w:rPr>
          <w:lang w:val="en-GB"/>
        </w:rPr>
        <w:t>,</w:t>
      </w:r>
      <w:r>
        <w:rPr>
          <w:lang w:val="en-GB"/>
        </w:rPr>
        <w:t xml:space="preserve"> </w:t>
      </w:r>
      <w:r w:rsidR="00061E97">
        <w:rPr>
          <w:lang w:val="en-GB"/>
        </w:rPr>
        <w:t xml:space="preserve">cross-silo applications </w:t>
      </w:r>
      <w:r w:rsidR="00930529">
        <w:rPr>
          <w:lang w:val="en-GB"/>
        </w:rPr>
        <w:t xml:space="preserve">– can </w:t>
      </w:r>
      <w:r w:rsidR="00061E97">
        <w:rPr>
          <w:lang w:val="en-GB"/>
        </w:rPr>
        <w:t xml:space="preserve">help organizations to </w:t>
      </w:r>
      <w:r w:rsidR="00013B3A">
        <w:rPr>
          <w:lang w:val="en-GB"/>
        </w:rPr>
        <w:t xml:space="preserve">manage their environmental footprint and to </w:t>
      </w:r>
      <w:r w:rsidR="00061E97">
        <w:rPr>
          <w:lang w:val="en-GB"/>
        </w:rPr>
        <w:t xml:space="preserve">tackle </w:t>
      </w:r>
      <w:r w:rsidR="00013B3A">
        <w:rPr>
          <w:lang w:val="en-GB"/>
        </w:rPr>
        <w:t xml:space="preserve">different facets of </w:t>
      </w:r>
      <w:r w:rsidR="00061E97">
        <w:rPr>
          <w:lang w:val="en-GB"/>
        </w:rPr>
        <w:t xml:space="preserve">the UN’s Sustainability Development Goals. </w:t>
      </w:r>
    </w:p>
    <w:p w14:paraId="372F0129" w14:textId="7E4BDC48" w:rsidR="00DD3D52" w:rsidRDefault="00061E97" w:rsidP="00850CC4">
      <w:pPr>
        <w:spacing w:before="240" w:after="240"/>
        <w:rPr>
          <w:lang w:val="en-GB"/>
        </w:rPr>
      </w:pPr>
      <w:r>
        <w:rPr>
          <w:lang w:val="en-GB"/>
        </w:rPr>
        <w:t xml:space="preserve">If these IoT capabilities are to achieve widespread impact, participants in the IoT ecosystem and neighbouring sectors need to focus on </w:t>
      </w:r>
      <w:r w:rsidR="00930529">
        <w:rPr>
          <w:lang w:val="en-GB"/>
        </w:rPr>
        <w:t xml:space="preserve">long-lasting </w:t>
      </w:r>
      <w:r w:rsidR="00013B3A">
        <w:rPr>
          <w:lang w:val="en-GB"/>
        </w:rPr>
        <w:t>and scalable deployments</w:t>
      </w:r>
      <w:r>
        <w:rPr>
          <w:lang w:val="en-GB"/>
        </w:rPr>
        <w:t xml:space="preserve">. This </w:t>
      </w:r>
      <w:r w:rsidR="00013B3A">
        <w:rPr>
          <w:lang w:val="en-GB"/>
        </w:rPr>
        <w:t xml:space="preserve">begins </w:t>
      </w:r>
      <w:r w:rsidRPr="00E60410">
        <w:rPr>
          <w:lang w:val="en-GB"/>
        </w:rPr>
        <w:t>with investment</w:t>
      </w:r>
      <w:r w:rsidR="00013B3A">
        <w:rPr>
          <w:lang w:val="en-GB"/>
        </w:rPr>
        <w:t>s</w:t>
      </w:r>
      <w:r w:rsidRPr="00E60410">
        <w:rPr>
          <w:lang w:val="en-GB"/>
        </w:rPr>
        <w:t xml:space="preserve"> in IoT systems </w:t>
      </w:r>
      <w:r>
        <w:rPr>
          <w:lang w:val="en-GB"/>
        </w:rPr>
        <w:t xml:space="preserve">that promote </w:t>
      </w:r>
      <w:r w:rsidRPr="00E60410">
        <w:rPr>
          <w:lang w:val="en-GB"/>
        </w:rPr>
        <w:t>reus</w:t>
      </w:r>
      <w:r>
        <w:rPr>
          <w:lang w:val="en-GB"/>
        </w:rPr>
        <w:t>ability</w:t>
      </w:r>
      <w:r w:rsidRPr="00E60410">
        <w:rPr>
          <w:lang w:val="en-GB"/>
        </w:rPr>
        <w:t xml:space="preserve"> and </w:t>
      </w:r>
      <w:r w:rsidR="00850CC4">
        <w:rPr>
          <w:lang w:val="en-GB"/>
        </w:rPr>
        <w:t xml:space="preserve">resource </w:t>
      </w:r>
      <w:r w:rsidRPr="00E60410">
        <w:rPr>
          <w:lang w:val="en-GB"/>
        </w:rPr>
        <w:t xml:space="preserve">sharing </w:t>
      </w:r>
      <w:r w:rsidR="00850CC4">
        <w:rPr>
          <w:lang w:val="en-GB"/>
        </w:rPr>
        <w:t xml:space="preserve">across </w:t>
      </w:r>
      <w:r w:rsidRPr="00E60410">
        <w:rPr>
          <w:lang w:val="en-GB"/>
        </w:rPr>
        <w:t xml:space="preserve">multiple </w:t>
      </w:r>
      <w:r w:rsidR="00850CC4">
        <w:rPr>
          <w:lang w:val="en-GB"/>
        </w:rPr>
        <w:t xml:space="preserve">applications and </w:t>
      </w:r>
      <w:r w:rsidRPr="00E60410">
        <w:rPr>
          <w:lang w:val="en-GB"/>
        </w:rPr>
        <w:t xml:space="preserve">users. </w:t>
      </w:r>
      <w:r w:rsidR="00013B3A">
        <w:rPr>
          <w:lang w:val="en-GB"/>
        </w:rPr>
        <w:t xml:space="preserve">The benefits are a reduction in </w:t>
      </w:r>
      <w:r w:rsidRPr="00E60410">
        <w:rPr>
          <w:lang w:val="en-GB"/>
        </w:rPr>
        <w:t>the risk of ‘orphan</w:t>
      </w:r>
      <w:r>
        <w:rPr>
          <w:lang w:val="en-GB"/>
        </w:rPr>
        <w:t>’</w:t>
      </w:r>
      <w:r w:rsidRPr="00E60410">
        <w:rPr>
          <w:lang w:val="en-GB"/>
        </w:rPr>
        <w:t xml:space="preserve"> </w:t>
      </w:r>
      <w:r w:rsidR="00850CC4">
        <w:rPr>
          <w:lang w:val="en-GB"/>
        </w:rPr>
        <w:t xml:space="preserve">or silo </w:t>
      </w:r>
      <w:r w:rsidRPr="00E60410">
        <w:rPr>
          <w:lang w:val="en-GB"/>
        </w:rPr>
        <w:t>investments</w:t>
      </w:r>
      <w:r>
        <w:rPr>
          <w:lang w:val="en-GB"/>
        </w:rPr>
        <w:t xml:space="preserve"> while enabling </w:t>
      </w:r>
      <w:r w:rsidR="00850CC4">
        <w:rPr>
          <w:lang w:val="en-GB"/>
        </w:rPr>
        <w:t xml:space="preserve">the </w:t>
      </w:r>
      <w:r>
        <w:rPr>
          <w:lang w:val="en-GB"/>
        </w:rPr>
        <w:t xml:space="preserve">economies of scale </w:t>
      </w:r>
      <w:r w:rsidR="00850CC4">
        <w:rPr>
          <w:lang w:val="en-GB"/>
        </w:rPr>
        <w:t xml:space="preserve">that </w:t>
      </w:r>
      <w:r>
        <w:rPr>
          <w:lang w:val="en-GB"/>
        </w:rPr>
        <w:t>make adoption affordable</w:t>
      </w:r>
      <w:r w:rsidRPr="00E60410">
        <w:rPr>
          <w:lang w:val="en-GB"/>
        </w:rPr>
        <w:t xml:space="preserve">. </w:t>
      </w:r>
      <w:r w:rsidR="00013B3A">
        <w:rPr>
          <w:lang w:val="en-GB"/>
        </w:rPr>
        <w:t xml:space="preserve">It also helps </w:t>
      </w:r>
      <w:r w:rsidR="003C13F9">
        <w:rPr>
          <w:lang w:val="en-GB"/>
        </w:rPr>
        <w:t xml:space="preserve">if </w:t>
      </w:r>
      <w:r w:rsidR="00850CC4" w:rsidRPr="00E60410">
        <w:rPr>
          <w:lang w:val="en-GB"/>
        </w:rPr>
        <w:t>developers and service providers design systems based on interoperability, scalability, modularity, and re-use</w:t>
      </w:r>
      <w:r w:rsidR="00013B3A">
        <w:rPr>
          <w:lang w:val="en-GB"/>
        </w:rPr>
        <w:t xml:space="preserve"> principles</w:t>
      </w:r>
      <w:r w:rsidR="00850CC4" w:rsidRPr="00E60410">
        <w:rPr>
          <w:lang w:val="en-GB"/>
        </w:rPr>
        <w:t>.</w:t>
      </w:r>
      <w:r w:rsidR="00850CC4">
        <w:rPr>
          <w:lang w:val="en-GB"/>
        </w:rPr>
        <w:t xml:space="preserve"> </w:t>
      </w:r>
      <w:r w:rsidR="00013B3A">
        <w:rPr>
          <w:lang w:val="en-GB"/>
        </w:rPr>
        <w:t xml:space="preserve">These are areas </w:t>
      </w:r>
      <w:r w:rsidRPr="00E60410">
        <w:rPr>
          <w:lang w:val="en-GB"/>
        </w:rPr>
        <w:t xml:space="preserve">where standardization </w:t>
      </w:r>
      <w:r w:rsidR="00013B3A">
        <w:rPr>
          <w:lang w:val="en-GB"/>
        </w:rPr>
        <w:t xml:space="preserve">has </w:t>
      </w:r>
      <w:r w:rsidRPr="00E60410">
        <w:rPr>
          <w:lang w:val="en-GB"/>
        </w:rPr>
        <w:t xml:space="preserve">a </w:t>
      </w:r>
      <w:r w:rsidR="00930529">
        <w:rPr>
          <w:lang w:val="en-GB"/>
        </w:rPr>
        <w:t xml:space="preserve">magnifying </w:t>
      </w:r>
      <w:r w:rsidRPr="00E60410">
        <w:rPr>
          <w:lang w:val="en-GB"/>
        </w:rPr>
        <w:t xml:space="preserve">impact. </w:t>
      </w:r>
    </w:p>
    <w:p w14:paraId="497F3FAC" w14:textId="63431B89" w:rsidR="00061E97" w:rsidRDefault="00061E97" w:rsidP="00850CC4">
      <w:pPr>
        <w:spacing w:before="240" w:after="240"/>
        <w:rPr>
          <w:lang w:val="en-GB"/>
        </w:rPr>
      </w:pPr>
      <w:r w:rsidRPr="00E60410">
        <w:rPr>
          <w:lang w:val="en-GB"/>
        </w:rPr>
        <w:t xml:space="preserve">At the implementation level, </w:t>
      </w:r>
      <w:r w:rsidR="00013B3A">
        <w:rPr>
          <w:lang w:val="en-GB"/>
        </w:rPr>
        <w:t xml:space="preserve">there is a need </w:t>
      </w:r>
      <w:r w:rsidR="00850CC4">
        <w:rPr>
          <w:lang w:val="en-GB"/>
        </w:rPr>
        <w:t xml:space="preserve">to </w:t>
      </w:r>
      <w:r w:rsidR="00DD3D52">
        <w:rPr>
          <w:lang w:val="en-GB"/>
        </w:rPr>
        <w:t xml:space="preserve">educate and </w:t>
      </w:r>
      <w:r w:rsidR="00850CC4">
        <w:rPr>
          <w:lang w:val="en-GB"/>
        </w:rPr>
        <w:t xml:space="preserve">inform the marketplace and </w:t>
      </w:r>
      <w:r w:rsidR="00013B3A">
        <w:rPr>
          <w:lang w:val="en-GB"/>
        </w:rPr>
        <w:t xml:space="preserve">potential </w:t>
      </w:r>
      <w:r w:rsidR="00850CC4">
        <w:rPr>
          <w:lang w:val="en-GB"/>
        </w:rPr>
        <w:t>adopters</w:t>
      </w:r>
      <w:r w:rsidR="00013B3A">
        <w:rPr>
          <w:lang w:val="en-GB"/>
        </w:rPr>
        <w:t xml:space="preserve">. This involves </w:t>
      </w:r>
      <w:r w:rsidR="00850CC4">
        <w:rPr>
          <w:lang w:val="en-GB"/>
        </w:rPr>
        <w:t xml:space="preserve">exhibiting </w:t>
      </w:r>
      <w:r w:rsidR="00013B3A">
        <w:rPr>
          <w:lang w:val="en-GB"/>
        </w:rPr>
        <w:t xml:space="preserve">innovative </w:t>
      </w:r>
      <w:r w:rsidRPr="00E60410">
        <w:rPr>
          <w:lang w:val="en-GB"/>
        </w:rPr>
        <w:t xml:space="preserve">solutions and technologies that improve sustainability </w:t>
      </w:r>
      <w:r w:rsidR="00930529">
        <w:rPr>
          <w:lang w:val="en-GB"/>
        </w:rPr>
        <w:t xml:space="preserve">while also </w:t>
      </w:r>
      <w:r w:rsidR="00DD3D52">
        <w:rPr>
          <w:lang w:val="en-GB"/>
        </w:rPr>
        <w:t>speeding up the adoption process</w:t>
      </w:r>
      <w:r w:rsidRPr="00E60410">
        <w:rPr>
          <w:lang w:val="en-GB"/>
        </w:rPr>
        <w:t xml:space="preserve">. </w:t>
      </w:r>
      <w:r w:rsidR="008E6FF5">
        <w:rPr>
          <w:lang w:val="en-GB"/>
        </w:rPr>
        <w:t xml:space="preserve">While individual </w:t>
      </w:r>
      <w:r w:rsidR="00850CC4">
        <w:rPr>
          <w:lang w:val="en-GB"/>
        </w:rPr>
        <w:t xml:space="preserve">examples </w:t>
      </w:r>
      <w:r w:rsidRPr="00E60410">
        <w:rPr>
          <w:lang w:val="en-GB"/>
        </w:rPr>
        <w:t xml:space="preserve">might have a marginal </w:t>
      </w:r>
      <w:r w:rsidR="00930529">
        <w:rPr>
          <w:lang w:val="en-GB"/>
        </w:rPr>
        <w:t>effect</w:t>
      </w:r>
      <w:r w:rsidR="008E6FF5">
        <w:rPr>
          <w:lang w:val="en-GB"/>
        </w:rPr>
        <w:t xml:space="preserve">, their collective </w:t>
      </w:r>
      <w:r w:rsidR="00930529">
        <w:rPr>
          <w:lang w:val="en-GB"/>
        </w:rPr>
        <w:t xml:space="preserve">impact </w:t>
      </w:r>
      <w:r w:rsidRPr="00E60410">
        <w:rPr>
          <w:lang w:val="en-GB"/>
        </w:rPr>
        <w:t>can be considerable when applied at scale.</w:t>
      </w:r>
    </w:p>
    <w:p w14:paraId="277A9998" w14:textId="377E4E93" w:rsidR="003E5DA3" w:rsidRDefault="00850CC4" w:rsidP="00850CC4">
      <w:pPr>
        <w:rPr>
          <w:lang w:val="en-GB"/>
        </w:rPr>
      </w:pPr>
      <w:r>
        <w:rPr>
          <w:lang w:val="en-GB"/>
        </w:rPr>
        <w:t>oneM2M</w:t>
      </w:r>
      <w:r w:rsidR="00DD3D52">
        <w:rPr>
          <w:lang w:val="en-GB"/>
        </w:rPr>
        <w:t xml:space="preserve"> </w:t>
      </w:r>
      <w:r>
        <w:rPr>
          <w:lang w:val="en-GB"/>
        </w:rPr>
        <w:t xml:space="preserve">recently launched </w:t>
      </w:r>
      <w:r w:rsidR="00DD3D52">
        <w:rPr>
          <w:lang w:val="en-GB"/>
        </w:rPr>
        <w:t xml:space="preserve">a </w:t>
      </w:r>
      <w:r>
        <w:rPr>
          <w:lang w:val="en-GB"/>
        </w:rPr>
        <w:t xml:space="preserve">sustainability initiative </w:t>
      </w:r>
      <w:r w:rsidRPr="00153F64">
        <w:rPr>
          <w:lang w:val="en-GB"/>
        </w:rPr>
        <w:t xml:space="preserve">to promote the </w:t>
      </w:r>
      <w:r w:rsidR="003E5DA3">
        <w:rPr>
          <w:lang w:val="en-GB"/>
        </w:rPr>
        <w:t xml:space="preserve">role </w:t>
      </w:r>
      <w:r w:rsidRPr="00153F64">
        <w:rPr>
          <w:lang w:val="en-GB"/>
        </w:rPr>
        <w:t>of IoT systems</w:t>
      </w:r>
      <w:r w:rsidR="003E5DA3">
        <w:rPr>
          <w:lang w:val="en-GB"/>
        </w:rPr>
        <w:t xml:space="preserve"> in addressing sustainability goals</w:t>
      </w:r>
      <w:r w:rsidR="00DD3D52">
        <w:rPr>
          <w:lang w:val="en-GB"/>
        </w:rPr>
        <w:t xml:space="preserve">. An important message </w:t>
      </w:r>
      <w:r w:rsidR="003E5DA3">
        <w:rPr>
          <w:lang w:val="en-GB"/>
        </w:rPr>
        <w:t xml:space="preserve">from this initiative </w:t>
      </w:r>
      <w:r w:rsidR="00DD3D52">
        <w:rPr>
          <w:lang w:val="en-GB"/>
        </w:rPr>
        <w:t xml:space="preserve">focuses on </w:t>
      </w:r>
      <w:r w:rsidRPr="00153F64">
        <w:rPr>
          <w:lang w:val="en-GB"/>
        </w:rPr>
        <w:t xml:space="preserve">the </w:t>
      </w:r>
      <w:r w:rsidR="003E5DA3">
        <w:rPr>
          <w:lang w:val="en-GB"/>
        </w:rPr>
        <w:t xml:space="preserve">benefits </w:t>
      </w:r>
      <w:r w:rsidRPr="00153F64">
        <w:rPr>
          <w:lang w:val="en-GB"/>
        </w:rPr>
        <w:t xml:space="preserve">of </w:t>
      </w:r>
      <w:r w:rsidR="003E5DA3">
        <w:rPr>
          <w:lang w:val="en-GB"/>
        </w:rPr>
        <w:t xml:space="preserve">scalable, </w:t>
      </w:r>
      <w:r w:rsidRPr="00153F64">
        <w:rPr>
          <w:lang w:val="en-GB"/>
        </w:rPr>
        <w:t>open-standard solutions.</w:t>
      </w:r>
      <w:r>
        <w:rPr>
          <w:lang w:val="en-GB"/>
        </w:rPr>
        <w:t xml:space="preserve"> </w:t>
      </w:r>
      <w:r w:rsidR="00CE0C06">
        <w:rPr>
          <w:lang w:val="en-GB"/>
        </w:rPr>
        <w:t xml:space="preserve">Since its inception </w:t>
      </w:r>
      <w:r w:rsidR="003E5DA3">
        <w:rPr>
          <w:lang w:val="en-GB"/>
        </w:rPr>
        <w:t xml:space="preserve">in </w:t>
      </w:r>
      <w:r w:rsidR="008E6FF5">
        <w:rPr>
          <w:lang w:val="en-GB"/>
        </w:rPr>
        <w:t>2012</w:t>
      </w:r>
      <w:r>
        <w:rPr>
          <w:lang w:val="en-GB"/>
        </w:rPr>
        <w:t>, oneM2M</w:t>
      </w:r>
      <w:r w:rsidR="008E6FF5">
        <w:rPr>
          <w:lang w:val="en-GB"/>
        </w:rPr>
        <w:t>’s</w:t>
      </w:r>
      <w:r>
        <w:rPr>
          <w:lang w:val="en-GB"/>
        </w:rPr>
        <w:t xml:space="preserve"> members have focused on </w:t>
      </w:r>
      <w:r w:rsidRPr="00153F64">
        <w:rPr>
          <w:lang w:val="en-GB"/>
        </w:rPr>
        <w:t xml:space="preserve">defining </w:t>
      </w:r>
      <w:r w:rsidR="00DD3D52">
        <w:rPr>
          <w:lang w:val="en-GB"/>
        </w:rPr>
        <w:t xml:space="preserve">technical specifications for </w:t>
      </w:r>
      <w:r w:rsidRPr="00153F64">
        <w:rPr>
          <w:lang w:val="en-GB"/>
        </w:rPr>
        <w:t xml:space="preserve">a general-purpose </w:t>
      </w:r>
      <w:r>
        <w:rPr>
          <w:lang w:val="en-GB"/>
        </w:rPr>
        <w:t xml:space="preserve">IoT </w:t>
      </w:r>
      <w:r w:rsidR="003E5DA3">
        <w:rPr>
          <w:lang w:val="en-GB"/>
        </w:rPr>
        <w:t xml:space="preserve">framework </w:t>
      </w:r>
      <w:r w:rsidR="00DD3D52">
        <w:rPr>
          <w:lang w:val="en-GB"/>
        </w:rPr>
        <w:t xml:space="preserve">that is </w:t>
      </w:r>
      <w:r w:rsidRPr="00153F64">
        <w:rPr>
          <w:lang w:val="en-GB"/>
        </w:rPr>
        <w:t>applicable to a wide range of application domains</w:t>
      </w:r>
      <w:r>
        <w:rPr>
          <w:lang w:val="en-GB"/>
        </w:rPr>
        <w:t xml:space="preserve"> at a global level</w:t>
      </w:r>
      <w:r w:rsidR="00DD3D52">
        <w:rPr>
          <w:lang w:val="en-GB"/>
        </w:rPr>
        <w:t xml:space="preserve">. By involving </w:t>
      </w:r>
      <w:r w:rsidR="003E5DA3">
        <w:rPr>
          <w:lang w:val="en-GB"/>
        </w:rPr>
        <w:t>organizations from across the globe</w:t>
      </w:r>
      <w:r w:rsidR="00DD3D52">
        <w:rPr>
          <w:lang w:val="en-GB"/>
        </w:rPr>
        <w:t xml:space="preserve">, oneM2M set out to </w:t>
      </w:r>
      <w:r>
        <w:rPr>
          <w:lang w:val="en-GB"/>
        </w:rPr>
        <w:t>avoid</w:t>
      </w:r>
      <w:r w:rsidR="00DD3D52">
        <w:rPr>
          <w:lang w:val="en-GB"/>
        </w:rPr>
        <w:t xml:space="preserve"> a proliferation of </w:t>
      </w:r>
      <w:r w:rsidRPr="00153F64">
        <w:rPr>
          <w:lang w:val="en-GB"/>
        </w:rPr>
        <w:t xml:space="preserve">competing standardization efforts, at </w:t>
      </w:r>
      <w:r w:rsidR="008E6FF5">
        <w:rPr>
          <w:lang w:val="en-GB"/>
        </w:rPr>
        <w:t xml:space="preserve">both national and </w:t>
      </w:r>
      <w:r w:rsidRPr="00153F64">
        <w:rPr>
          <w:lang w:val="en-GB"/>
        </w:rPr>
        <w:t>technical levels</w:t>
      </w:r>
      <w:r w:rsidR="00AE0E90">
        <w:rPr>
          <w:lang w:val="en-GB"/>
        </w:rPr>
        <w:t xml:space="preserve">. </w:t>
      </w:r>
    </w:p>
    <w:p w14:paraId="66DEF47F" w14:textId="77777777" w:rsidR="003E5DA3" w:rsidRDefault="003E5DA3" w:rsidP="00850CC4">
      <w:pPr>
        <w:rPr>
          <w:lang w:val="en-GB"/>
        </w:rPr>
      </w:pPr>
    </w:p>
    <w:p w14:paraId="33B4E12D" w14:textId="03993AFE" w:rsidR="00850CC4" w:rsidRDefault="00DD3D52" w:rsidP="00850CC4">
      <w:pPr>
        <w:rPr>
          <w:lang w:val="en-GB"/>
        </w:rPr>
      </w:pPr>
      <w:r>
        <w:rPr>
          <w:lang w:val="en-GB"/>
        </w:rPr>
        <w:lastRenderedPageBreak/>
        <w:t xml:space="preserve">Through </w:t>
      </w:r>
      <w:r w:rsidR="003E5DA3">
        <w:rPr>
          <w:lang w:val="en-GB"/>
        </w:rPr>
        <w:t xml:space="preserve">an emphasis on </w:t>
      </w:r>
      <w:r>
        <w:rPr>
          <w:lang w:val="en-GB"/>
        </w:rPr>
        <w:t xml:space="preserve">interoperability </w:t>
      </w:r>
      <w:r w:rsidR="00CE0C06">
        <w:rPr>
          <w:lang w:val="en-GB"/>
        </w:rPr>
        <w:t xml:space="preserve">of its </w:t>
      </w:r>
      <w:r>
        <w:rPr>
          <w:lang w:val="en-GB"/>
        </w:rPr>
        <w:t xml:space="preserve">specifications, </w:t>
      </w:r>
      <w:r w:rsidR="00AE0E90">
        <w:rPr>
          <w:lang w:val="en-GB"/>
        </w:rPr>
        <w:t xml:space="preserve">oneM2M avoids re-invention </w:t>
      </w:r>
      <w:r>
        <w:rPr>
          <w:lang w:val="en-GB"/>
        </w:rPr>
        <w:t xml:space="preserve">and enables </w:t>
      </w:r>
      <w:r w:rsidR="003E5DA3">
        <w:rPr>
          <w:lang w:val="en-GB"/>
        </w:rPr>
        <w:t xml:space="preserve">the </w:t>
      </w:r>
      <w:r>
        <w:rPr>
          <w:lang w:val="en-GB"/>
        </w:rPr>
        <w:t xml:space="preserve">re-use </w:t>
      </w:r>
      <w:r w:rsidR="003E5DA3">
        <w:rPr>
          <w:lang w:val="en-GB"/>
        </w:rPr>
        <w:t xml:space="preserve">of established industry standards </w:t>
      </w:r>
      <w:r>
        <w:rPr>
          <w:lang w:val="en-GB"/>
        </w:rPr>
        <w:t xml:space="preserve">in </w:t>
      </w:r>
      <w:r w:rsidR="003E5DA3">
        <w:rPr>
          <w:lang w:val="en-GB"/>
        </w:rPr>
        <w:t xml:space="preserve">home and industry </w:t>
      </w:r>
      <w:r>
        <w:rPr>
          <w:lang w:val="en-GB"/>
        </w:rPr>
        <w:t xml:space="preserve">domains </w:t>
      </w:r>
      <w:r w:rsidR="008E6FF5">
        <w:rPr>
          <w:lang w:val="en-GB"/>
        </w:rPr>
        <w:t xml:space="preserve">where </w:t>
      </w:r>
      <w:r w:rsidR="003E5DA3">
        <w:rPr>
          <w:lang w:val="en-GB"/>
        </w:rPr>
        <w:t xml:space="preserve">they </w:t>
      </w:r>
      <w:r w:rsidR="008E6FF5">
        <w:rPr>
          <w:lang w:val="en-GB"/>
        </w:rPr>
        <w:t>exist</w:t>
      </w:r>
      <w:r w:rsidR="00AE0E90">
        <w:rPr>
          <w:lang w:val="en-GB"/>
        </w:rPr>
        <w:t xml:space="preserve">. </w:t>
      </w:r>
      <w:r w:rsidR="008E6FF5">
        <w:rPr>
          <w:lang w:val="en-GB"/>
        </w:rPr>
        <w:t>O</w:t>
      </w:r>
      <w:r w:rsidR="00AE0E90" w:rsidRPr="009A0A15">
        <w:rPr>
          <w:lang w:val="en-GB"/>
        </w:rPr>
        <w:t xml:space="preserve">rganizations </w:t>
      </w:r>
      <w:r w:rsidR="008E6FF5">
        <w:rPr>
          <w:lang w:val="en-GB"/>
        </w:rPr>
        <w:t xml:space="preserve">are therefore free </w:t>
      </w:r>
      <w:r w:rsidR="00AE0E90">
        <w:rPr>
          <w:lang w:val="en-GB"/>
        </w:rPr>
        <w:t xml:space="preserve">to </w:t>
      </w:r>
      <w:r w:rsidR="00AE0E90" w:rsidRPr="009A0A15">
        <w:rPr>
          <w:lang w:val="en-GB"/>
        </w:rPr>
        <w:t xml:space="preserve">build </w:t>
      </w:r>
      <w:r w:rsidR="008E6FF5">
        <w:rPr>
          <w:lang w:val="en-GB"/>
        </w:rPr>
        <w:t xml:space="preserve">scalable </w:t>
      </w:r>
      <w:r w:rsidR="00AE0E90" w:rsidRPr="009A0A15">
        <w:rPr>
          <w:lang w:val="en-GB"/>
        </w:rPr>
        <w:t xml:space="preserve">IoT systems based on an open standards framework </w:t>
      </w:r>
      <w:r w:rsidR="008E6FF5">
        <w:rPr>
          <w:lang w:val="en-GB"/>
        </w:rPr>
        <w:t xml:space="preserve">that </w:t>
      </w:r>
      <w:r w:rsidR="003E5DA3">
        <w:rPr>
          <w:lang w:val="en-GB"/>
        </w:rPr>
        <w:t xml:space="preserve">preserves the value of </w:t>
      </w:r>
      <w:r w:rsidR="00AE0E90">
        <w:rPr>
          <w:lang w:val="en-GB"/>
        </w:rPr>
        <w:t xml:space="preserve">earlier investments and </w:t>
      </w:r>
      <w:r w:rsidR="00AE0E90" w:rsidRPr="009A0A15">
        <w:rPr>
          <w:lang w:val="en-GB"/>
        </w:rPr>
        <w:t>legacy systems</w:t>
      </w:r>
      <w:r w:rsidR="003E5DA3">
        <w:rPr>
          <w:lang w:val="en-GB"/>
        </w:rPr>
        <w:t xml:space="preserve">, thereby </w:t>
      </w:r>
      <w:r w:rsidR="008E6FF5" w:rsidRPr="009A0A15">
        <w:rPr>
          <w:lang w:val="en-GB"/>
        </w:rPr>
        <w:t>minimiz</w:t>
      </w:r>
      <w:r w:rsidR="003E5DA3">
        <w:rPr>
          <w:lang w:val="en-GB"/>
        </w:rPr>
        <w:t xml:space="preserve">ing the potential for </w:t>
      </w:r>
      <w:r w:rsidR="008E6FF5" w:rsidRPr="009A0A15">
        <w:rPr>
          <w:lang w:val="en-GB"/>
        </w:rPr>
        <w:t>waste</w:t>
      </w:r>
      <w:r w:rsidR="00AE0E90">
        <w:rPr>
          <w:lang w:val="en-GB"/>
        </w:rPr>
        <w:t>.</w:t>
      </w:r>
    </w:p>
    <w:p w14:paraId="067DC20E" w14:textId="218A4A03" w:rsidR="008E6FF5" w:rsidRDefault="008E6FF5" w:rsidP="00850CC4">
      <w:pPr>
        <w:rPr>
          <w:lang w:val="en-GB"/>
        </w:rPr>
      </w:pPr>
    </w:p>
    <w:p w14:paraId="1C42F144" w14:textId="4B267E61" w:rsidR="009A0A15" w:rsidRDefault="008E6FF5">
      <w:pPr>
        <w:rPr>
          <w:lang w:val="en-GB"/>
        </w:rPr>
      </w:pPr>
      <w:r>
        <w:rPr>
          <w:lang w:val="en-GB"/>
        </w:rPr>
        <w:t xml:space="preserve">As </w:t>
      </w:r>
      <w:r w:rsidR="003E5DA3">
        <w:rPr>
          <w:lang w:val="en-GB"/>
        </w:rPr>
        <w:t xml:space="preserve">the </w:t>
      </w:r>
      <w:r>
        <w:rPr>
          <w:lang w:val="en-GB"/>
        </w:rPr>
        <w:t>sustainability flywheel gains momentum</w:t>
      </w:r>
      <w:r w:rsidR="00DD3D52">
        <w:rPr>
          <w:lang w:val="en-GB"/>
        </w:rPr>
        <w:t xml:space="preserve"> over the coming years</w:t>
      </w:r>
      <w:r>
        <w:rPr>
          <w:lang w:val="en-GB"/>
        </w:rPr>
        <w:t>, organizations need to adjust their strategies away from legacy approaches towards sustainable and circular economy approaches.</w:t>
      </w:r>
      <w:r w:rsidR="009A0A15" w:rsidRPr="009A0A15">
        <w:rPr>
          <w:lang w:val="en-GB"/>
        </w:rPr>
        <w:t xml:space="preserve"> </w:t>
      </w:r>
      <w:r w:rsidR="00DD3D52">
        <w:rPr>
          <w:lang w:val="en-GB"/>
        </w:rPr>
        <w:t xml:space="preserve">IoT technologies will play a significant role, aided by open standards that foster wide-spread adoption, </w:t>
      </w:r>
      <w:r w:rsidR="003E5DA3">
        <w:rPr>
          <w:lang w:val="en-GB"/>
        </w:rPr>
        <w:t>innovation,</w:t>
      </w:r>
      <w:r w:rsidR="00DD3D52">
        <w:rPr>
          <w:lang w:val="en-GB"/>
        </w:rPr>
        <w:t xml:space="preserve"> and economies of scale.</w:t>
      </w:r>
      <w:r w:rsidR="003E5DA3">
        <w:rPr>
          <w:lang w:val="en-GB"/>
        </w:rPr>
        <w:t xml:space="preserve"> Our intention with this White Paper is to illustrate the potential of IoT systems and to chart a pathway to achieving sustainability goals.</w:t>
      </w:r>
      <w:r w:rsidR="009A0A15">
        <w:rPr>
          <w:lang w:val="en-GB"/>
        </w:rPr>
        <w:br w:type="page"/>
      </w:r>
    </w:p>
    <w:p w14:paraId="0000008E" w14:textId="6BA82806" w:rsidR="00524B6B" w:rsidRPr="00A05E9A" w:rsidRDefault="00BD3B1B">
      <w:pPr>
        <w:pStyle w:val="Heading1"/>
        <w:numPr>
          <w:ilvl w:val="0"/>
          <w:numId w:val="5"/>
        </w:numPr>
        <w:rPr>
          <w:lang w:val="en-GB"/>
        </w:rPr>
      </w:pPr>
      <w:bookmarkStart w:id="1" w:name="_Toc82352536"/>
      <w:r w:rsidRPr="00A05E9A">
        <w:rPr>
          <w:lang w:val="en-GB"/>
        </w:rPr>
        <w:lastRenderedPageBreak/>
        <w:t xml:space="preserve">Why ‘sustainability’ </w:t>
      </w:r>
      <w:r w:rsidR="0029498B" w:rsidRPr="00A05E9A">
        <w:rPr>
          <w:lang w:val="en-GB"/>
        </w:rPr>
        <w:t xml:space="preserve">is </w:t>
      </w:r>
      <w:r w:rsidRPr="00A05E9A">
        <w:rPr>
          <w:lang w:val="en-GB"/>
        </w:rPr>
        <w:t>important</w:t>
      </w:r>
      <w:bookmarkEnd w:id="1"/>
    </w:p>
    <w:p w14:paraId="0000008F" w14:textId="77777777" w:rsidR="00524B6B" w:rsidRPr="00E60410" w:rsidRDefault="00524B6B">
      <w:pPr>
        <w:rPr>
          <w:lang w:val="en-GB"/>
        </w:rPr>
      </w:pPr>
    </w:p>
    <w:p w14:paraId="00000090" w14:textId="6CAB7860" w:rsidR="00524B6B" w:rsidRDefault="00BD3B1B">
      <w:pPr>
        <w:rPr>
          <w:lang w:val="en-GB"/>
        </w:rPr>
      </w:pPr>
      <w:r w:rsidRPr="00E60410">
        <w:rPr>
          <w:lang w:val="en-GB"/>
        </w:rPr>
        <w:t>Sustainability is concerned with the well-being of future generations and</w:t>
      </w:r>
      <w:r w:rsidR="001B18BD">
        <w:rPr>
          <w:lang w:val="en-GB"/>
        </w:rPr>
        <w:t xml:space="preserve"> </w:t>
      </w:r>
      <w:r w:rsidR="00E60410" w:rsidRPr="00E60410">
        <w:rPr>
          <w:lang w:val="en-GB"/>
        </w:rPr>
        <w:t xml:space="preserve">the treatment of </w:t>
      </w:r>
      <w:r w:rsidRPr="00E60410">
        <w:rPr>
          <w:lang w:val="en-GB"/>
        </w:rPr>
        <w:t xml:space="preserve">irreplaceable natural resources. It primarily refers to the capacity for the Earth’s biosphere and human civilization to co-exist in the long run. </w:t>
      </w:r>
    </w:p>
    <w:p w14:paraId="0935FF34" w14:textId="778C18F9" w:rsidR="001B18BD" w:rsidRDefault="001B18BD">
      <w:pPr>
        <w:rPr>
          <w:lang w:val="en-GB"/>
        </w:rPr>
      </w:pPr>
    </w:p>
    <w:p w14:paraId="54A6F34E" w14:textId="674EE764" w:rsidR="001B18BD" w:rsidRPr="00E60410" w:rsidRDefault="001B18BD" w:rsidP="00367319">
      <w:pPr>
        <w:rPr>
          <w:lang w:val="en-GB"/>
        </w:rPr>
      </w:pPr>
      <w:r>
        <w:rPr>
          <w:lang w:val="en-GB"/>
        </w:rPr>
        <w:t xml:space="preserve">The </w:t>
      </w:r>
      <w:r w:rsidR="00367319">
        <w:rPr>
          <w:lang w:val="en-GB"/>
        </w:rPr>
        <w:t xml:space="preserve">communications industry </w:t>
      </w:r>
      <w:r>
        <w:rPr>
          <w:lang w:val="en-GB"/>
        </w:rPr>
        <w:t>plays a major role in how resources are consumed</w:t>
      </w:r>
      <w:r w:rsidR="00367319">
        <w:rPr>
          <w:lang w:val="en-GB"/>
        </w:rPr>
        <w:t>. Information about resource usage patterns helps to address opportunities to improve efficiency or to reduce waste. In this regard, technologies, services, and applications related to the Internet of Things are fundamental to sustainability. The purpose of this White Paper is to provide a context for sustainability issues and to demonstrate how organizations are addressing sustainability challenges using IoT technologies and solutions. The sheer scale of opportunities and need for many parties to collaborate in this area are arguments for standardization at the technical level and in terms of design practices that promote interoperable, modular, re-usable and scalable systems.</w:t>
      </w:r>
    </w:p>
    <w:p w14:paraId="00000091" w14:textId="15A3BE5E" w:rsidR="00524B6B" w:rsidRPr="00E60410" w:rsidRDefault="00BD3B1B" w:rsidP="009A0A15">
      <w:pPr>
        <w:pStyle w:val="Heading2"/>
        <w:rPr>
          <w:lang w:val="en-GB"/>
        </w:rPr>
      </w:pPr>
      <w:bookmarkStart w:id="2" w:name="_Toc82352537"/>
      <w:r w:rsidRPr="00E60410">
        <w:rPr>
          <w:lang w:val="en-GB"/>
        </w:rPr>
        <w:t xml:space="preserve">1.1 </w:t>
      </w:r>
      <w:r w:rsidR="00367319">
        <w:rPr>
          <w:lang w:val="en-GB"/>
        </w:rPr>
        <w:t>What is ‘</w:t>
      </w:r>
      <w:r w:rsidR="00367319" w:rsidRPr="009A0A15">
        <w:t>s</w:t>
      </w:r>
      <w:r w:rsidRPr="009A0A15">
        <w:t>ustainability</w:t>
      </w:r>
      <w:r w:rsidR="00367319" w:rsidRPr="009A0A15">
        <w:t>’</w:t>
      </w:r>
      <w:r w:rsidR="00367319">
        <w:rPr>
          <w:lang w:val="en-GB"/>
        </w:rPr>
        <w:t>?</w:t>
      </w:r>
      <w:bookmarkEnd w:id="2"/>
    </w:p>
    <w:p w14:paraId="40FCC4CD" w14:textId="53538919" w:rsidR="005E0664" w:rsidRDefault="00367319">
      <w:pPr>
        <w:rPr>
          <w:lang w:val="en-GB"/>
        </w:rPr>
      </w:pPr>
      <w:r>
        <w:rPr>
          <w:lang w:val="en-GB"/>
        </w:rPr>
        <w:t xml:space="preserve">There are many different definitions and interpretations for the term ‘sustainability’. </w:t>
      </w:r>
      <w:r w:rsidR="005E0664">
        <w:rPr>
          <w:lang w:val="en-GB"/>
        </w:rPr>
        <w:t>For example, t</w:t>
      </w:r>
      <w:r w:rsidR="00BD3B1B" w:rsidRPr="00E60410">
        <w:rPr>
          <w:lang w:val="en-GB"/>
        </w:rPr>
        <w:t xml:space="preserve">he </w:t>
      </w:r>
      <w:r w:rsidR="005E0664">
        <w:rPr>
          <w:lang w:val="en-GB"/>
        </w:rPr>
        <w:t xml:space="preserve">term is </w:t>
      </w:r>
      <w:r w:rsidR="00BD3B1B" w:rsidRPr="00E60410">
        <w:rPr>
          <w:lang w:val="en-GB"/>
        </w:rPr>
        <w:t>often broken down into three areas referred to as environment, social, and governance</w:t>
      </w:r>
      <w:r w:rsidR="005E0664">
        <w:rPr>
          <w:lang w:val="en-GB"/>
        </w:rPr>
        <w:t xml:space="preserve"> (</w:t>
      </w:r>
      <w:r w:rsidR="005E0664" w:rsidRPr="00E60410">
        <w:rPr>
          <w:lang w:val="en-GB"/>
        </w:rPr>
        <w:t>ESG</w:t>
      </w:r>
      <w:r w:rsidR="005E0664">
        <w:rPr>
          <w:lang w:val="en-GB"/>
        </w:rPr>
        <w:t>)</w:t>
      </w:r>
      <w:r w:rsidR="00BD3B1B" w:rsidRPr="00E60410">
        <w:rPr>
          <w:lang w:val="en-GB"/>
        </w:rPr>
        <w:t xml:space="preserve">. </w:t>
      </w:r>
    </w:p>
    <w:p w14:paraId="4F446DEF" w14:textId="77777777" w:rsidR="005E0664" w:rsidRDefault="005E0664">
      <w:pPr>
        <w:rPr>
          <w:lang w:val="en-GB"/>
        </w:rPr>
      </w:pPr>
    </w:p>
    <w:p w14:paraId="00000092" w14:textId="33D6D26E" w:rsidR="00524B6B" w:rsidRPr="00E60410" w:rsidRDefault="00BD3B1B">
      <w:pPr>
        <w:rPr>
          <w:lang w:val="en-GB"/>
        </w:rPr>
      </w:pPr>
      <w:r w:rsidRPr="00E60410">
        <w:rPr>
          <w:lang w:val="en-GB"/>
        </w:rPr>
        <w:t xml:space="preserve">In a similar way, the Triple Bottom Line is a business concept whereby firms commit to measuring their social and environmental impact—in addition to their financial performance—rather than solely focusing on generating profit, or the standard “bottom line.” </w:t>
      </w:r>
      <w:r w:rsidR="005E0664">
        <w:rPr>
          <w:lang w:val="en-GB"/>
        </w:rPr>
        <w:t xml:space="preserve">The Triple Bottom Line consists of </w:t>
      </w:r>
      <w:r w:rsidRPr="00E60410">
        <w:rPr>
          <w:lang w:val="en-GB"/>
        </w:rPr>
        <w:t>“three Ps”: profit, people, and the planet (or economic, social, and environment). Here, the profit</w:t>
      </w:r>
      <w:r w:rsidR="005E0664">
        <w:rPr>
          <w:lang w:val="en-GB"/>
        </w:rPr>
        <w:t xml:space="preserve"> or </w:t>
      </w:r>
      <w:r w:rsidRPr="00E60410">
        <w:rPr>
          <w:lang w:val="en-GB"/>
        </w:rPr>
        <w:t>economic link refers to sustainable actions such as investments related to climate-change mitigation or adaptation. In most cases, these areas and their aspects are also considered in sustainability assessments and sustainability or non-financial reporting guidelines. This is reflected</w:t>
      </w:r>
      <w:r w:rsidR="005E0664">
        <w:rPr>
          <w:lang w:val="en-GB"/>
        </w:rPr>
        <w:t xml:space="preserve"> in another sustainability framework, known as the </w:t>
      </w:r>
      <w:r w:rsidRPr="00E60410">
        <w:rPr>
          <w:lang w:val="en-GB"/>
        </w:rPr>
        <w:t>Global Reporting Initiative</w:t>
      </w:r>
      <w:r w:rsidR="005E0664">
        <w:rPr>
          <w:lang w:val="en-GB"/>
        </w:rPr>
        <w:t xml:space="preserve"> (GRI</w:t>
      </w:r>
      <w:r w:rsidRPr="00E60410">
        <w:rPr>
          <w:lang w:val="en-GB"/>
        </w:rPr>
        <w:t>)</w:t>
      </w:r>
      <w:r w:rsidR="005E0664">
        <w:rPr>
          <w:lang w:val="en-GB"/>
        </w:rPr>
        <w:t>, which comprises a set of</w:t>
      </w:r>
      <w:r w:rsidRPr="00E60410">
        <w:rPr>
          <w:lang w:val="en-GB"/>
        </w:rPr>
        <w:t xml:space="preserve"> indices for sustainability reporting.</w:t>
      </w:r>
    </w:p>
    <w:p w14:paraId="00000093" w14:textId="77777777" w:rsidR="00524B6B" w:rsidRPr="00E60410" w:rsidRDefault="00524B6B">
      <w:pPr>
        <w:rPr>
          <w:lang w:val="en-GB"/>
        </w:rPr>
      </w:pPr>
    </w:p>
    <w:p w14:paraId="00000094" w14:textId="65227B00" w:rsidR="00524B6B" w:rsidRPr="00E60410" w:rsidRDefault="00BD3B1B">
      <w:pPr>
        <w:rPr>
          <w:lang w:val="en-GB"/>
        </w:rPr>
      </w:pPr>
      <w:r w:rsidRPr="00E60410">
        <w:rPr>
          <w:lang w:val="en-GB"/>
        </w:rPr>
        <w:t xml:space="preserve">Typically, environmental aspects include greenhouse-gas emissions, energy consumption (which is also considered in the ISO 50001 Energy Management System, </w:t>
      </w:r>
      <w:proofErr w:type="spellStart"/>
      <w:r w:rsidRPr="00E60410">
        <w:rPr>
          <w:lang w:val="en-GB"/>
        </w:rPr>
        <w:t>EnMS</w:t>
      </w:r>
      <w:proofErr w:type="spellEnd"/>
      <w:r w:rsidRPr="00E60410">
        <w:rPr>
          <w:lang w:val="en-GB"/>
        </w:rPr>
        <w:t xml:space="preserve">), water usage and pollution, and waste generation and treatment (the latter are considered in the ISO 14001 Environmental Management System, EMS). Further aspects can include resources scarcity/efficiency, Ozone depletion, hazardous substances (also covered by ISO 14001), and product </w:t>
      </w:r>
      <w:r w:rsidR="00E60410" w:rsidRPr="00E60410">
        <w:rPr>
          <w:lang w:val="en-GB"/>
        </w:rPr>
        <w:t>eco-design</w:t>
      </w:r>
      <w:r w:rsidRPr="00E60410">
        <w:rPr>
          <w:lang w:val="en-GB"/>
        </w:rPr>
        <w:t>. Emissions often cover the three Scopes of the Greenhouse Gas Protocol, for example own operations, logistics and product use phase.</w:t>
      </w:r>
    </w:p>
    <w:p w14:paraId="00000095" w14:textId="77777777" w:rsidR="00524B6B" w:rsidRPr="00E60410" w:rsidRDefault="00524B6B">
      <w:pPr>
        <w:rPr>
          <w:lang w:val="en-GB"/>
        </w:rPr>
      </w:pPr>
    </w:p>
    <w:p w14:paraId="00000096" w14:textId="3A546FA0" w:rsidR="00524B6B" w:rsidRPr="00E60410" w:rsidRDefault="00BD3B1B">
      <w:pPr>
        <w:rPr>
          <w:lang w:val="en-GB"/>
        </w:rPr>
      </w:pPr>
      <w:r w:rsidRPr="00E60410">
        <w:rPr>
          <w:lang w:val="en-GB"/>
        </w:rPr>
        <w:t xml:space="preserve">Social aspects typically include </w:t>
      </w:r>
      <w:r w:rsidR="00E60410" w:rsidRPr="00E60410">
        <w:rPr>
          <w:lang w:val="en-GB"/>
        </w:rPr>
        <w:t>labour</w:t>
      </w:r>
      <w:r w:rsidRPr="00E60410">
        <w:rPr>
          <w:lang w:val="en-GB"/>
        </w:rPr>
        <w:t xml:space="preserve"> law (</w:t>
      </w:r>
      <w:r w:rsidR="00E60410" w:rsidRPr="00E60410">
        <w:rPr>
          <w:lang w:val="en-GB"/>
        </w:rPr>
        <w:t>e.g.,</w:t>
      </w:r>
      <w:r w:rsidRPr="00E60410">
        <w:rPr>
          <w:lang w:val="en-GB"/>
        </w:rPr>
        <w:t xml:space="preserve"> regarding the ILO convention), health &amp; safety (covered in OHSAS 18001 / ISO 45001), diversity and corporate social engagement. This often </w:t>
      </w:r>
      <w:r w:rsidRPr="00E60410">
        <w:rPr>
          <w:lang w:val="en-GB"/>
        </w:rPr>
        <w:lastRenderedPageBreak/>
        <w:t>extends to the respective measures that are to be taken with regard to the supply chain. The latter, supply chain, is an aspect of increasing importance, as can be seen from the attempts to responsible sourcing and other ongoing initiatives.</w:t>
      </w:r>
    </w:p>
    <w:p w14:paraId="00000097" w14:textId="77777777" w:rsidR="00524B6B" w:rsidRPr="00E60410" w:rsidRDefault="00524B6B">
      <w:pPr>
        <w:rPr>
          <w:lang w:val="en-GB"/>
        </w:rPr>
      </w:pPr>
    </w:p>
    <w:p w14:paraId="00000098" w14:textId="77777777" w:rsidR="00524B6B" w:rsidRPr="00E60410" w:rsidRDefault="00BD3B1B">
      <w:pPr>
        <w:rPr>
          <w:lang w:val="en-GB"/>
        </w:rPr>
      </w:pPr>
      <w:r w:rsidRPr="00E60410">
        <w:rPr>
          <w:lang w:val="en-GB"/>
        </w:rPr>
        <w:t>Governance or economic aspects include the reporting entity’s organizational structure, including highest governance level responsible for sustainability, assignment of responsibilities, training and aspects like revenue, cost or investment related to climate change and other environmental aspects. The latter is also considered in the TCFD framework (Task force for Climate-related Financial Disclosure) and in the EU Taxonomy. Over time, the Taxonomy will extend this to the aspects of circular economy and governance.</w:t>
      </w:r>
    </w:p>
    <w:p w14:paraId="00000099" w14:textId="77777777" w:rsidR="00524B6B" w:rsidRPr="00E60410" w:rsidRDefault="00524B6B">
      <w:pPr>
        <w:rPr>
          <w:lang w:val="en-GB"/>
        </w:rPr>
      </w:pPr>
    </w:p>
    <w:p w14:paraId="0000009A" w14:textId="27C524F5" w:rsidR="00524B6B" w:rsidRPr="00E60410" w:rsidRDefault="00BD3B1B">
      <w:pPr>
        <w:rPr>
          <w:lang w:val="en-GB"/>
        </w:rPr>
      </w:pPr>
      <w:r w:rsidRPr="00E60410">
        <w:rPr>
          <w:lang w:val="en-GB"/>
        </w:rPr>
        <w:t xml:space="preserve">Finally, the </w:t>
      </w:r>
      <w:r w:rsidR="005E0664">
        <w:rPr>
          <w:lang w:val="en-GB"/>
        </w:rPr>
        <w:t>‘</w:t>
      </w:r>
      <w:r w:rsidRPr="00E60410">
        <w:rPr>
          <w:lang w:val="en-GB"/>
        </w:rPr>
        <w:t>circular economy</w:t>
      </w:r>
      <w:r w:rsidR="005E0664">
        <w:rPr>
          <w:lang w:val="en-GB"/>
        </w:rPr>
        <w:t>’</w:t>
      </w:r>
      <w:r w:rsidRPr="00E60410">
        <w:rPr>
          <w:lang w:val="en-GB"/>
        </w:rPr>
        <w:t xml:space="preserve"> is </w:t>
      </w:r>
      <w:r w:rsidR="005E0664">
        <w:rPr>
          <w:lang w:val="en-GB"/>
        </w:rPr>
        <w:t xml:space="preserve">another way to consider the topic of sustainability. It has </w:t>
      </w:r>
      <w:r w:rsidRPr="00E60410">
        <w:rPr>
          <w:lang w:val="en-GB"/>
        </w:rPr>
        <w:t xml:space="preserve">possibly the most relevant cross-over aspect. It connects environmental aspects </w:t>
      </w:r>
      <w:r w:rsidR="005E0664">
        <w:rPr>
          <w:lang w:val="en-GB"/>
        </w:rPr>
        <w:t>such as</w:t>
      </w:r>
      <w:r w:rsidRPr="00E60410">
        <w:rPr>
          <w:lang w:val="en-GB"/>
        </w:rPr>
        <w:t xml:space="preserve"> resource efficiency and emissions with the necessary consideration of the entire value chain and new business models that replace the old linear take-make-sell-forget business</w:t>
      </w:r>
      <w:r w:rsidR="005E0664">
        <w:rPr>
          <w:lang w:val="en-GB"/>
        </w:rPr>
        <w:t xml:space="preserve"> construct</w:t>
      </w:r>
      <w:r w:rsidRPr="00E60410">
        <w:rPr>
          <w:lang w:val="en-GB"/>
        </w:rPr>
        <w:t>.</w:t>
      </w:r>
    </w:p>
    <w:p w14:paraId="0000009B" w14:textId="22E52002" w:rsidR="00524B6B" w:rsidRPr="00E60410" w:rsidRDefault="00BD3B1B">
      <w:pPr>
        <w:pStyle w:val="Heading2"/>
        <w:rPr>
          <w:lang w:val="en-GB"/>
        </w:rPr>
      </w:pPr>
      <w:bookmarkStart w:id="3" w:name="_Toc82352538"/>
      <w:r w:rsidRPr="00E60410">
        <w:rPr>
          <w:lang w:val="en-GB"/>
        </w:rPr>
        <w:t xml:space="preserve">1.2 </w:t>
      </w:r>
      <w:r w:rsidR="0055753C">
        <w:rPr>
          <w:lang w:val="en-GB"/>
        </w:rPr>
        <w:t xml:space="preserve">Quantifying the </w:t>
      </w:r>
      <w:r w:rsidRPr="00E60410">
        <w:rPr>
          <w:lang w:val="en-GB"/>
        </w:rPr>
        <w:t>Impact</w:t>
      </w:r>
      <w:r w:rsidR="00B838E0">
        <w:rPr>
          <w:lang w:val="en-GB"/>
        </w:rPr>
        <w:t xml:space="preserve"> in </w:t>
      </w:r>
      <w:r w:rsidRPr="00E60410">
        <w:rPr>
          <w:lang w:val="en-GB"/>
        </w:rPr>
        <w:t xml:space="preserve">Key </w:t>
      </w:r>
      <w:r w:rsidR="00B838E0">
        <w:rPr>
          <w:lang w:val="en-GB"/>
        </w:rPr>
        <w:t xml:space="preserve">Market </w:t>
      </w:r>
      <w:r w:rsidRPr="00E60410">
        <w:rPr>
          <w:lang w:val="en-GB"/>
        </w:rPr>
        <w:t>Segments</w:t>
      </w:r>
      <w:bookmarkEnd w:id="3"/>
    </w:p>
    <w:p w14:paraId="0000009E" w14:textId="2ABDEB74" w:rsidR="00524B6B" w:rsidRPr="00E60410" w:rsidRDefault="00BD3B1B">
      <w:pPr>
        <w:rPr>
          <w:lang w:val="en-GB"/>
        </w:rPr>
      </w:pPr>
      <w:r w:rsidRPr="00E60410">
        <w:rPr>
          <w:lang w:val="en-GB"/>
        </w:rPr>
        <w:t xml:space="preserve">The world emits around 50 billion tonnes of greenhouse gases each year. A useful proxy to rank different industrial sectors according to their impact on sustainability </w:t>
      </w:r>
      <w:r w:rsidR="0056051F">
        <w:rPr>
          <w:lang w:val="en-GB"/>
        </w:rPr>
        <w:t xml:space="preserve">is the </w:t>
      </w:r>
      <w:r w:rsidR="0055753C">
        <w:rPr>
          <w:lang w:val="en-GB"/>
        </w:rPr>
        <w:t xml:space="preserve">breakdown of </w:t>
      </w:r>
      <w:r w:rsidRPr="00E60410">
        <w:rPr>
          <w:lang w:val="en-GB"/>
        </w:rPr>
        <w:t>greenhouse gas emissions</w:t>
      </w:r>
      <w:r w:rsidR="0056051F">
        <w:rPr>
          <w:lang w:val="en-GB"/>
        </w:rPr>
        <w:t xml:space="preserve"> by sectors</w:t>
      </w:r>
      <w:r w:rsidRPr="00E60410">
        <w:rPr>
          <w:lang w:val="en-GB"/>
        </w:rPr>
        <w:t xml:space="preserve">. </w:t>
      </w:r>
      <w:r w:rsidR="0055753C">
        <w:rPr>
          <w:lang w:val="en-GB"/>
        </w:rPr>
        <w:fldChar w:fldCharType="begin"/>
      </w:r>
      <w:r w:rsidR="0055753C">
        <w:rPr>
          <w:lang w:val="en-GB"/>
        </w:rPr>
        <w:instrText xml:space="preserve"> REF _Ref81217837 \h </w:instrText>
      </w:r>
      <w:r w:rsidR="0055753C">
        <w:rPr>
          <w:lang w:val="en-GB"/>
        </w:rPr>
      </w:r>
      <w:r w:rsidR="0055753C">
        <w:rPr>
          <w:lang w:val="en-GB"/>
        </w:rPr>
        <w:fldChar w:fldCharType="separate"/>
      </w:r>
      <w:r w:rsidR="00B405D3">
        <w:t xml:space="preserve">Figure </w:t>
      </w:r>
      <w:r w:rsidR="00B405D3">
        <w:rPr>
          <w:noProof/>
        </w:rPr>
        <w:t>1</w:t>
      </w:r>
      <w:r w:rsidR="0055753C">
        <w:rPr>
          <w:lang w:val="en-GB"/>
        </w:rPr>
        <w:fldChar w:fldCharType="end"/>
      </w:r>
      <w:r w:rsidR="0055753C">
        <w:rPr>
          <w:lang w:val="en-GB"/>
        </w:rPr>
        <w:t xml:space="preserve"> </w:t>
      </w:r>
      <w:r w:rsidRPr="00E60410">
        <w:rPr>
          <w:lang w:val="en-GB"/>
        </w:rPr>
        <w:t xml:space="preserve">illustrates </w:t>
      </w:r>
      <w:r w:rsidR="0055753C">
        <w:rPr>
          <w:lang w:val="en-GB"/>
        </w:rPr>
        <w:t xml:space="preserve">the results from </w:t>
      </w:r>
      <w:hyperlink r:id="rId9" w:anchor="sector-by-sector-where-do-global-greenhouse-gas-emissions-come-from" w:history="1">
        <w:r w:rsidRPr="0056051F">
          <w:rPr>
            <w:rStyle w:val="Hyperlink"/>
            <w:lang w:val="en-GB"/>
          </w:rPr>
          <w:t>a</w:t>
        </w:r>
        <w:r w:rsidR="0055753C" w:rsidRPr="0056051F">
          <w:rPr>
            <w:rStyle w:val="Hyperlink"/>
            <w:lang w:val="en-GB"/>
          </w:rPr>
          <w:t xml:space="preserve">n </w:t>
        </w:r>
        <w:r w:rsidRPr="0056051F">
          <w:rPr>
            <w:rStyle w:val="Hyperlink"/>
            <w:lang w:val="en-GB"/>
          </w:rPr>
          <w:t xml:space="preserve">analysis </w:t>
        </w:r>
        <w:r w:rsidR="0055753C" w:rsidRPr="0056051F">
          <w:rPr>
            <w:rStyle w:val="Hyperlink"/>
            <w:lang w:val="en-GB"/>
          </w:rPr>
          <w:t xml:space="preserve">conducted by </w:t>
        </w:r>
        <w:r w:rsidRPr="0056051F">
          <w:rPr>
            <w:rStyle w:val="Hyperlink"/>
            <w:lang w:val="en-GB"/>
          </w:rPr>
          <w:t>Climate Watch and the World Resources Institute using data for 2016</w:t>
        </w:r>
      </w:hyperlink>
      <w:r w:rsidRPr="00E60410">
        <w:rPr>
          <w:lang w:val="en-GB"/>
        </w:rPr>
        <w:t>.</w:t>
      </w:r>
    </w:p>
    <w:p w14:paraId="17B6BDF2" w14:textId="773E7BAC" w:rsidR="0055753C" w:rsidRDefault="00636D5B" w:rsidP="0055753C">
      <w:pPr>
        <w:keepNext/>
      </w:pPr>
      <w:r w:rsidRPr="00636D5B">
        <w:t xml:space="preserve"> </w:t>
      </w:r>
      <w:r w:rsidRPr="00636D5B">
        <w:rPr>
          <w:noProof/>
        </w:rPr>
        <w:drawing>
          <wp:inline distT="0" distB="0" distL="0" distR="0" wp14:anchorId="080926C2" wp14:editId="2B96BF19">
            <wp:extent cx="5943600" cy="34563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456305"/>
                    </a:xfrm>
                    <a:prstGeom prst="rect">
                      <a:avLst/>
                    </a:prstGeom>
                    <a:noFill/>
                    <a:ln>
                      <a:noFill/>
                    </a:ln>
                  </pic:spPr>
                </pic:pic>
              </a:graphicData>
            </a:graphic>
          </wp:inline>
        </w:drawing>
      </w:r>
    </w:p>
    <w:p w14:paraId="000000A0" w14:textId="30B335AC" w:rsidR="00524B6B" w:rsidRPr="00E60410" w:rsidRDefault="0055753C" w:rsidP="0055753C">
      <w:pPr>
        <w:pStyle w:val="Caption"/>
        <w:rPr>
          <w:i w:val="0"/>
          <w:color w:val="545054"/>
          <w:sz w:val="16"/>
          <w:szCs w:val="16"/>
          <w:lang w:val="en-GB"/>
        </w:rPr>
      </w:pPr>
      <w:bookmarkStart w:id="4" w:name="_Ref81217837"/>
      <w:r>
        <w:t xml:space="preserve">Figure </w:t>
      </w:r>
      <w:fldSimple w:instr=" SEQ Figure \* ARABIC ">
        <w:r w:rsidR="00B405D3">
          <w:rPr>
            <w:noProof/>
          </w:rPr>
          <w:t>1</w:t>
        </w:r>
      </w:fldSimple>
      <w:bookmarkEnd w:id="4"/>
      <w:r>
        <w:t xml:space="preserve"> </w:t>
      </w:r>
      <w:r w:rsidRPr="006F5F0C">
        <w:t>Global Greenhouse Gas Emissions by Sector, (Our World in Data</w:t>
      </w:r>
      <w:r>
        <w:t xml:space="preserve">: </w:t>
      </w:r>
      <w:r w:rsidRPr="006F5F0C">
        <w:t>Where do global greenhouse gases come from?)</w:t>
      </w:r>
      <w:r>
        <w:br/>
      </w:r>
      <w:r w:rsidR="00BD3B1B" w:rsidRPr="00E60410">
        <w:rPr>
          <w:color w:val="545054"/>
          <w:sz w:val="16"/>
          <w:szCs w:val="16"/>
          <w:lang w:val="en-GB"/>
        </w:rPr>
        <w:t>Note: Grassland category (not shown) accounts for &lt;1%</w:t>
      </w:r>
    </w:p>
    <w:p w14:paraId="000000A2" w14:textId="77777777" w:rsidR="00524B6B" w:rsidRPr="00E60410" w:rsidRDefault="00524B6B">
      <w:pPr>
        <w:rPr>
          <w:lang w:val="en-GB"/>
        </w:rPr>
      </w:pPr>
    </w:p>
    <w:p w14:paraId="000000A3" w14:textId="494EF077" w:rsidR="00524B6B" w:rsidRPr="00E60410" w:rsidRDefault="00BD3B1B">
      <w:pPr>
        <w:numPr>
          <w:ilvl w:val="0"/>
          <w:numId w:val="6"/>
        </w:numPr>
        <w:rPr>
          <w:lang w:val="en-GB"/>
        </w:rPr>
      </w:pPr>
      <w:r w:rsidRPr="00290FBA">
        <w:rPr>
          <w:b/>
          <w:bCs/>
          <w:lang w:val="en-GB"/>
        </w:rPr>
        <w:t xml:space="preserve">Energy (electricity, </w:t>
      </w:r>
      <w:r w:rsidR="00E60410" w:rsidRPr="00290FBA">
        <w:rPr>
          <w:b/>
          <w:bCs/>
          <w:lang w:val="en-GB"/>
        </w:rPr>
        <w:t>transport,</w:t>
      </w:r>
      <w:r w:rsidRPr="00290FBA">
        <w:rPr>
          <w:b/>
          <w:bCs/>
          <w:lang w:val="en-GB"/>
        </w:rPr>
        <w:t xml:space="preserve"> and heat): 73.2%</w:t>
      </w:r>
      <w:r w:rsidRPr="00E60410">
        <w:rPr>
          <w:lang w:val="en-GB"/>
        </w:rPr>
        <w:t xml:space="preserve"> - energy use in industrial manufacturing processes is a significant contributor to this category, amounting to 24.2% of GHGs. The key industries include iron and steel, and chemical and petrochemicals. The transportation sector contributes 16.2% in this category, driven primarily by fuel emissions from cars, trucks, lorries, </w:t>
      </w:r>
      <w:r w:rsidR="00E60410" w:rsidRPr="00E60410">
        <w:rPr>
          <w:lang w:val="en-GB"/>
        </w:rPr>
        <w:t>motorcycles,</w:t>
      </w:r>
      <w:r w:rsidRPr="00E60410">
        <w:rPr>
          <w:lang w:val="en-GB"/>
        </w:rPr>
        <w:t xml:space="preserve"> and buses. Energy consumption in residential and commercial buildings contributes 17.5% to the category total.</w:t>
      </w:r>
      <w:r w:rsidR="00636D5B">
        <w:rPr>
          <w:lang w:val="en-GB"/>
        </w:rPr>
        <w:br/>
      </w:r>
    </w:p>
    <w:p w14:paraId="2FE3981A" w14:textId="77777777" w:rsidR="00636D5B" w:rsidRPr="00E60410" w:rsidRDefault="00636D5B" w:rsidP="00636D5B">
      <w:pPr>
        <w:numPr>
          <w:ilvl w:val="0"/>
          <w:numId w:val="6"/>
        </w:numPr>
        <w:rPr>
          <w:lang w:val="en-GB"/>
        </w:rPr>
      </w:pPr>
      <w:r w:rsidRPr="00290FBA">
        <w:rPr>
          <w:b/>
          <w:bCs/>
          <w:lang w:val="en-GB"/>
        </w:rPr>
        <w:t>Agriculture, Forestry and Land Use: 18.4%</w:t>
      </w:r>
      <w:r w:rsidRPr="00E60410">
        <w:rPr>
          <w:lang w:val="en-GB"/>
        </w:rPr>
        <w:t xml:space="preserve"> - agriculture, forestry and land use directly accounts for 18.4% of GHGs. Looking across sectors, the food system as a whole – including refrigeration, food processing, packaging, and transport – accounts for around one-quarter of greenhouse gas emissions.</w:t>
      </w:r>
    </w:p>
    <w:p w14:paraId="000000A4" w14:textId="77777777" w:rsidR="00524B6B" w:rsidRPr="00E60410" w:rsidRDefault="00524B6B">
      <w:pPr>
        <w:rPr>
          <w:lang w:val="en-GB"/>
        </w:rPr>
      </w:pPr>
    </w:p>
    <w:p w14:paraId="000000A5" w14:textId="5E807AEA" w:rsidR="00524B6B" w:rsidRPr="00E60410" w:rsidRDefault="00BD3B1B">
      <w:pPr>
        <w:numPr>
          <w:ilvl w:val="0"/>
          <w:numId w:val="6"/>
        </w:numPr>
        <w:rPr>
          <w:lang w:val="en-GB"/>
        </w:rPr>
      </w:pPr>
      <w:r w:rsidRPr="00290FBA">
        <w:rPr>
          <w:b/>
          <w:bCs/>
          <w:lang w:val="en-GB"/>
        </w:rPr>
        <w:t>Direct Industrial Processes: 5.2%</w:t>
      </w:r>
      <w:r w:rsidRPr="00E60410">
        <w:rPr>
          <w:lang w:val="en-GB"/>
        </w:rPr>
        <w:t xml:space="preserve"> - carbon dioxide produced during a chemical process in the production of cement accounts for 3% of this category’s total. The remainder is due to chemical </w:t>
      </w:r>
      <w:r w:rsidR="00E60410" w:rsidRPr="00E60410">
        <w:rPr>
          <w:lang w:val="en-GB"/>
        </w:rPr>
        <w:t>by-products</w:t>
      </w:r>
      <w:r w:rsidRPr="00E60410">
        <w:rPr>
          <w:lang w:val="en-GB"/>
        </w:rPr>
        <w:t xml:space="preserve"> in the chemical and petrochemicals sector.</w:t>
      </w:r>
    </w:p>
    <w:p w14:paraId="000000A6" w14:textId="77777777" w:rsidR="00524B6B" w:rsidRPr="00E60410" w:rsidRDefault="00524B6B">
      <w:pPr>
        <w:rPr>
          <w:lang w:val="en-GB"/>
        </w:rPr>
      </w:pPr>
    </w:p>
    <w:p w14:paraId="000000A7" w14:textId="77777777" w:rsidR="00524B6B" w:rsidRPr="00E60410" w:rsidRDefault="00BD3B1B">
      <w:pPr>
        <w:numPr>
          <w:ilvl w:val="0"/>
          <w:numId w:val="6"/>
        </w:numPr>
        <w:rPr>
          <w:lang w:val="en-GB"/>
        </w:rPr>
      </w:pPr>
      <w:r w:rsidRPr="00290FBA">
        <w:rPr>
          <w:b/>
          <w:bCs/>
          <w:lang w:val="en-GB"/>
        </w:rPr>
        <w:t>Waste: 3.2%</w:t>
      </w:r>
      <w:r w:rsidRPr="00E60410">
        <w:rPr>
          <w:lang w:val="en-GB"/>
        </w:rPr>
        <w:t xml:space="preserve"> - the decomposition of waste matter in wastewater systems and landfills are the two contributors to this category.</w:t>
      </w:r>
    </w:p>
    <w:p w14:paraId="000000AA" w14:textId="6E674CD2" w:rsidR="00524B6B" w:rsidRPr="00E60410" w:rsidRDefault="00BD3B1B">
      <w:pPr>
        <w:pStyle w:val="Heading2"/>
        <w:rPr>
          <w:lang w:val="en-GB"/>
        </w:rPr>
      </w:pPr>
      <w:bookmarkStart w:id="5" w:name="_Toc82352539"/>
      <w:r w:rsidRPr="00E60410">
        <w:rPr>
          <w:lang w:val="en-GB"/>
        </w:rPr>
        <w:t xml:space="preserve">1.3 Market Forces </w:t>
      </w:r>
      <w:r w:rsidR="00156F32">
        <w:rPr>
          <w:lang w:val="en-GB"/>
        </w:rPr>
        <w:t xml:space="preserve">are Driving </w:t>
      </w:r>
      <w:r w:rsidR="00B838E0">
        <w:rPr>
          <w:lang w:val="en-GB"/>
        </w:rPr>
        <w:t>Change</w:t>
      </w:r>
      <w:bookmarkEnd w:id="5"/>
    </w:p>
    <w:p w14:paraId="000000AB" w14:textId="55D379ED" w:rsidR="00524B6B" w:rsidRPr="00E60410" w:rsidRDefault="00BD3B1B">
      <w:pPr>
        <w:rPr>
          <w:lang w:val="en-GB"/>
        </w:rPr>
      </w:pPr>
      <w:r w:rsidRPr="00E60410">
        <w:rPr>
          <w:lang w:val="en-GB"/>
        </w:rPr>
        <w:t>The concept of sustainability</w:t>
      </w:r>
      <w:r w:rsidR="00346724">
        <w:rPr>
          <w:lang w:val="en-GB"/>
        </w:rPr>
        <w:t>,</w:t>
      </w:r>
      <w:r w:rsidRPr="00E60410">
        <w:rPr>
          <w:lang w:val="en-GB"/>
        </w:rPr>
        <w:t xml:space="preserve"> in all its facets</w:t>
      </w:r>
      <w:r w:rsidR="00346724">
        <w:rPr>
          <w:lang w:val="en-GB"/>
        </w:rPr>
        <w:t>,</w:t>
      </w:r>
      <w:r w:rsidRPr="00E60410">
        <w:rPr>
          <w:lang w:val="en-GB"/>
        </w:rPr>
        <w:t xml:space="preserve"> is becoming increasingly important for </w:t>
      </w:r>
      <w:r w:rsidR="00346724">
        <w:rPr>
          <w:lang w:val="en-GB"/>
        </w:rPr>
        <w:t xml:space="preserve">businesses </w:t>
      </w:r>
      <w:r w:rsidRPr="00E60410">
        <w:rPr>
          <w:lang w:val="en-GB"/>
        </w:rPr>
        <w:t xml:space="preserve">across all industries. </w:t>
      </w:r>
      <w:r w:rsidR="00346724">
        <w:rPr>
          <w:lang w:val="en-GB"/>
        </w:rPr>
        <w:t>S</w:t>
      </w:r>
      <w:r w:rsidRPr="00E60410">
        <w:rPr>
          <w:lang w:val="en-GB"/>
        </w:rPr>
        <w:t xml:space="preserve">everal </w:t>
      </w:r>
      <w:r w:rsidR="00346724">
        <w:rPr>
          <w:lang w:val="en-GB"/>
        </w:rPr>
        <w:t xml:space="preserve">factors account </w:t>
      </w:r>
      <w:r w:rsidRPr="00E60410">
        <w:rPr>
          <w:lang w:val="en-GB"/>
        </w:rPr>
        <w:t xml:space="preserve">for this. The </w:t>
      </w:r>
      <w:r w:rsidR="00346724">
        <w:rPr>
          <w:lang w:val="en-GB"/>
        </w:rPr>
        <w:t>most visible is due to the c</w:t>
      </w:r>
      <w:r w:rsidRPr="00E60410">
        <w:rPr>
          <w:lang w:val="en-GB"/>
        </w:rPr>
        <w:t>onsequences of climate change</w:t>
      </w:r>
      <w:r w:rsidR="00346724">
        <w:rPr>
          <w:lang w:val="en-GB"/>
        </w:rPr>
        <w:t>,</w:t>
      </w:r>
      <w:r w:rsidRPr="00E60410">
        <w:rPr>
          <w:lang w:val="en-GB"/>
        </w:rPr>
        <w:t xml:space="preserve"> </w:t>
      </w:r>
      <w:r w:rsidR="00346724">
        <w:rPr>
          <w:lang w:val="en-GB"/>
        </w:rPr>
        <w:t xml:space="preserve">across the world, which </w:t>
      </w:r>
      <w:r w:rsidRPr="00E60410">
        <w:rPr>
          <w:lang w:val="en-GB"/>
        </w:rPr>
        <w:t xml:space="preserve">are becoming more tangible by the day. Society is also concerned about other far-reaching global problems linked to the loss of biodiversity </w:t>
      </w:r>
      <w:r w:rsidR="00346724">
        <w:rPr>
          <w:lang w:val="en-GB"/>
        </w:rPr>
        <w:t xml:space="preserve">and </w:t>
      </w:r>
      <w:r w:rsidRPr="00E60410">
        <w:rPr>
          <w:lang w:val="en-GB"/>
        </w:rPr>
        <w:t>to social inequality. This palpability</w:t>
      </w:r>
      <w:r w:rsidR="00346724">
        <w:rPr>
          <w:lang w:val="en-GB"/>
        </w:rPr>
        <w:t>,</w:t>
      </w:r>
      <w:r w:rsidRPr="00E60410">
        <w:rPr>
          <w:lang w:val="en-GB"/>
        </w:rPr>
        <w:t xml:space="preserve"> unprecedented </w:t>
      </w:r>
      <w:r w:rsidR="00346724">
        <w:rPr>
          <w:lang w:val="en-GB"/>
        </w:rPr>
        <w:t xml:space="preserve">in </w:t>
      </w:r>
      <w:r w:rsidRPr="00E60410">
        <w:rPr>
          <w:lang w:val="en-GB"/>
        </w:rPr>
        <w:t>scope</w:t>
      </w:r>
      <w:r w:rsidR="00346724">
        <w:rPr>
          <w:lang w:val="en-GB"/>
        </w:rPr>
        <w:t>,</w:t>
      </w:r>
      <w:r w:rsidRPr="00E60410">
        <w:rPr>
          <w:lang w:val="en-GB"/>
        </w:rPr>
        <w:t xml:space="preserve"> means that consumers, regulatory </w:t>
      </w:r>
      <w:r w:rsidR="00E60410" w:rsidRPr="00E60410">
        <w:rPr>
          <w:lang w:val="en-GB"/>
        </w:rPr>
        <w:t>bodies,</w:t>
      </w:r>
      <w:r w:rsidRPr="00E60410">
        <w:rPr>
          <w:lang w:val="en-GB"/>
        </w:rPr>
        <w:t xml:space="preserve"> and </w:t>
      </w:r>
      <w:r w:rsidR="00346724">
        <w:rPr>
          <w:lang w:val="en-GB"/>
        </w:rPr>
        <w:t xml:space="preserve">businesses are under growing pressure </w:t>
      </w:r>
      <w:r w:rsidRPr="00E60410">
        <w:rPr>
          <w:lang w:val="en-GB"/>
        </w:rPr>
        <w:t xml:space="preserve">to behave sustainably. </w:t>
      </w:r>
    </w:p>
    <w:p w14:paraId="000000AC" w14:textId="77777777" w:rsidR="00524B6B" w:rsidRPr="00E60410" w:rsidRDefault="00524B6B">
      <w:pPr>
        <w:rPr>
          <w:lang w:val="en-GB"/>
        </w:rPr>
      </w:pPr>
    </w:p>
    <w:p w14:paraId="000000AD" w14:textId="77777777" w:rsidR="00524B6B" w:rsidRPr="00E60410" w:rsidRDefault="00BD3B1B">
      <w:pPr>
        <w:rPr>
          <w:lang w:val="en-GB"/>
        </w:rPr>
      </w:pPr>
      <w:r w:rsidRPr="00E60410">
        <w:rPr>
          <w:lang w:val="en-GB"/>
        </w:rPr>
        <w:t>Among other factors, end customers are expressing clear preferences for sustainable products and services. This desire is not only relevant in the B2C sector, but runs through the entire market, and is also noticeable in the B2B environment. For example, companies also select their partners and suppliers on the basis of their commitment to sustainability to avoid any negative impact on themselves. This process is turning into a priority as businesses reassess the resilience and sustainability of their supply chains.</w:t>
      </w:r>
    </w:p>
    <w:p w14:paraId="000000AE" w14:textId="77777777" w:rsidR="00524B6B" w:rsidRPr="00E60410" w:rsidRDefault="00524B6B">
      <w:pPr>
        <w:rPr>
          <w:lang w:val="en-GB"/>
        </w:rPr>
      </w:pPr>
    </w:p>
    <w:p w14:paraId="000000AF" w14:textId="767C1580" w:rsidR="00524B6B" w:rsidRPr="00E60410" w:rsidRDefault="00BD3B1B">
      <w:pPr>
        <w:rPr>
          <w:lang w:val="en-GB"/>
        </w:rPr>
      </w:pPr>
      <w:r w:rsidRPr="00E60410">
        <w:rPr>
          <w:lang w:val="en-GB"/>
        </w:rPr>
        <w:t xml:space="preserve">Investors are also showing increased interest in the environmental, social and governance performance of </w:t>
      </w:r>
      <w:r w:rsidR="00346724">
        <w:rPr>
          <w:lang w:val="en-GB"/>
        </w:rPr>
        <w:t xml:space="preserve">corporations </w:t>
      </w:r>
      <w:r w:rsidRPr="00E60410">
        <w:rPr>
          <w:lang w:val="en-GB"/>
        </w:rPr>
        <w:t xml:space="preserve">and have high expectations of them. In order to meet the needs of the market, it is essential to show authentic commitment in order to accelerate </w:t>
      </w:r>
      <w:r w:rsidR="00346724">
        <w:rPr>
          <w:lang w:val="en-GB"/>
        </w:rPr>
        <w:t xml:space="preserve">credible </w:t>
      </w:r>
      <w:r w:rsidRPr="00E60410">
        <w:rPr>
          <w:lang w:val="en-GB"/>
        </w:rPr>
        <w:t xml:space="preserve">change towards sustainable business. </w:t>
      </w:r>
    </w:p>
    <w:p w14:paraId="000000B0" w14:textId="77777777" w:rsidR="00524B6B" w:rsidRPr="00E60410" w:rsidRDefault="00524B6B">
      <w:pPr>
        <w:rPr>
          <w:lang w:val="en-GB"/>
        </w:rPr>
      </w:pPr>
    </w:p>
    <w:p w14:paraId="000000B1" w14:textId="08527852" w:rsidR="00524B6B" w:rsidRDefault="00BD3B1B">
      <w:pPr>
        <w:rPr>
          <w:lang w:val="en-GB"/>
        </w:rPr>
      </w:pPr>
      <w:r w:rsidRPr="00E60410">
        <w:rPr>
          <w:lang w:val="en-GB"/>
        </w:rPr>
        <w:lastRenderedPageBreak/>
        <w:t xml:space="preserve">Global policy actions are also </w:t>
      </w:r>
      <w:r w:rsidR="003D7CF2">
        <w:rPr>
          <w:lang w:val="en-GB"/>
        </w:rPr>
        <w:t xml:space="preserve">adding </w:t>
      </w:r>
      <w:r w:rsidRPr="00E60410">
        <w:rPr>
          <w:lang w:val="en-GB"/>
        </w:rPr>
        <w:t xml:space="preserve">pressure on </w:t>
      </w:r>
      <w:r w:rsidR="003D7CF2">
        <w:rPr>
          <w:lang w:val="en-GB"/>
        </w:rPr>
        <w:t>businesses</w:t>
      </w:r>
      <w:r w:rsidRPr="00E60410">
        <w:rPr>
          <w:lang w:val="en-GB"/>
        </w:rPr>
        <w:t xml:space="preserve">. Political initiatives, such as the European Green Deal, are increasingly being launched and aim to cut carbon emissions and detach economic growth from resource consumption. In the future, policy actions will increasingly reward sustainable practices while sanctioning activities that are climate-damaging or otherwise unsustainable. </w:t>
      </w:r>
    </w:p>
    <w:p w14:paraId="404E7AC1" w14:textId="1DC8261E" w:rsidR="002247E3" w:rsidRDefault="002247E3">
      <w:pPr>
        <w:rPr>
          <w:lang w:val="en-GB"/>
        </w:rPr>
      </w:pPr>
    </w:p>
    <w:p w14:paraId="226B04DF" w14:textId="0BCF9448" w:rsidR="002247E3" w:rsidRDefault="002247E3">
      <w:pPr>
        <w:rPr>
          <w:lang w:val="en-GB"/>
        </w:rPr>
      </w:pPr>
      <w:r>
        <w:rPr>
          <w:lang w:val="en-GB"/>
        </w:rPr>
        <w:t>Accessible and affordable IoT technologies are increasing the opportunities for remote monitoring and control capabilities. This raises the bar for managing shared networks. At the same time, IoT technologies present new security risks to automated systems. Both of these cases raise concerns about the sustainability of public communications networks</w:t>
      </w:r>
      <w:r w:rsidR="0032219F">
        <w:rPr>
          <w:lang w:val="en-GB"/>
        </w:rPr>
        <w:t xml:space="preserve">. In anticipation of rising demand for IoT devices and sensors and their impact on mobile networks, for example, the </w:t>
      </w:r>
      <w:hyperlink r:id="rId11" w:history="1">
        <w:r w:rsidR="0032219F" w:rsidRPr="003D7CF2">
          <w:rPr>
            <w:rStyle w:val="Hyperlink"/>
            <w:lang w:val="en-GB"/>
          </w:rPr>
          <w:t xml:space="preserve">GSMA’s </w:t>
        </w:r>
        <w:r w:rsidRPr="003D7CF2">
          <w:rPr>
            <w:rStyle w:val="Hyperlink"/>
            <w:lang w:val="en-GB"/>
          </w:rPr>
          <w:t>industry guidelines</w:t>
        </w:r>
        <w:r w:rsidR="003D7CF2" w:rsidRPr="003D7CF2">
          <w:rPr>
            <w:rStyle w:val="Hyperlink"/>
            <w:vertAlign w:val="superscript"/>
            <w:lang w:val="en-GB"/>
          </w:rPr>
          <w:t xml:space="preserve"> </w:t>
        </w:r>
        <w:r w:rsidR="0032219F" w:rsidRPr="003D7CF2">
          <w:rPr>
            <w:rStyle w:val="Hyperlink"/>
            <w:lang w:val="en-GB"/>
          </w:rPr>
          <w:t>encourage sustainable design and operational practices</w:t>
        </w:r>
      </w:hyperlink>
      <w:r>
        <w:rPr>
          <w:lang w:val="en-GB"/>
        </w:rPr>
        <w:t xml:space="preserve">. </w:t>
      </w:r>
    </w:p>
    <w:p w14:paraId="1A76E8C2" w14:textId="5ECC281A" w:rsidR="002247E3" w:rsidRDefault="002247E3">
      <w:pPr>
        <w:rPr>
          <w:lang w:val="en-GB"/>
        </w:rPr>
      </w:pPr>
    </w:p>
    <w:p w14:paraId="000000B3" w14:textId="1B0D236C" w:rsidR="00524B6B" w:rsidRDefault="0032219F">
      <w:pPr>
        <w:rPr>
          <w:lang w:val="en-GB"/>
        </w:rPr>
      </w:pPr>
      <w:r>
        <w:rPr>
          <w:lang w:val="en-GB"/>
        </w:rPr>
        <w:t xml:space="preserve">Finally, it </w:t>
      </w:r>
      <w:r w:rsidR="00BD3B1B" w:rsidRPr="00E60410">
        <w:rPr>
          <w:lang w:val="en-GB"/>
        </w:rPr>
        <w:t xml:space="preserve">is important to </w:t>
      </w:r>
      <w:r w:rsidR="00156F32">
        <w:rPr>
          <w:lang w:val="en-GB"/>
        </w:rPr>
        <w:t xml:space="preserve">note </w:t>
      </w:r>
      <w:r w:rsidR="00BD3B1B" w:rsidRPr="00E60410">
        <w:rPr>
          <w:lang w:val="en-GB"/>
        </w:rPr>
        <w:t xml:space="preserve">that the private sector and companies operating in it are part of a functioning society and contribute to its </w:t>
      </w:r>
      <w:r w:rsidR="002247E3">
        <w:rPr>
          <w:lang w:val="en-GB"/>
        </w:rPr>
        <w:t>well-being</w:t>
      </w:r>
      <w:r w:rsidR="00BD3B1B" w:rsidRPr="00E60410">
        <w:rPr>
          <w:lang w:val="en-GB"/>
        </w:rPr>
        <w:t>. It is therefore of fundamental importance that companies focus not only on short-term profit, but also on long-term value contribution to society. A functioning society depends on the availability of resources and an ecological balance</w:t>
      </w:r>
      <w:r w:rsidR="002247E3">
        <w:rPr>
          <w:lang w:val="en-GB"/>
        </w:rPr>
        <w:t>. T</w:t>
      </w:r>
      <w:r w:rsidR="002247E3" w:rsidRPr="00E60410">
        <w:rPr>
          <w:lang w:val="en-GB"/>
        </w:rPr>
        <w:t>herefore,</w:t>
      </w:r>
      <w:r w:rsidR="00BD3B1B" w:rsidRPr="00E60410">
        <w:rPr>
          <w:lang w:val="en-GB"/>
        </w:rPr>
        <w:t xml:space="preserve"> companies must help to ensure that this balance can be maintained in the long term and that natural resources continue to be available.</w:t>
      </w:r>
    </w:p>
    <w:p w14:paraId="05BE8DB3" w14:textId="7A4EAF51" w:rsidR="00156F32" w:rsidRDefault="00156F32">
      <w:pPr>
        <w:rPr>
          <w:lang w:val="en-GB"/>
        </w:rPr>
      </w:pPr>
    </w:p>
    <w:p w14:paraId="37A8A578" w14:textId="77777777" w:rsidR="00156F32" w:rsidRPr="00E60410" w:rsidRDefault="00156F32">
      <w:pPr>
        <w:rPr>
          <w:lang w:val="en-GB"/>
        </w:rPr>
      </w:pPr>
    </w:p>
    <w:p w14:paraId="000000B4" w14:textId="77777777" w:rsidR="00524B6B" w:rsidRPr="00E60410" w:rsidRDefault="00524B6B">
      <w:pPr>
        <w:rPr>
          <w:lang w:val="en-GB"/>
        </w:rPr>
      </w:pPr>
    </w:p>
    <w:p w14:paraId="000000B6" w14:textId="77777777" w:rsidR="00524B6B" w:rsidRPr="00E60410" w:rsidRDefault="00524B6B">
      <w:pPr>
        <w:rPr>
          <w:lang w:val="en-GB"/>
        </w:rPr>
      </w:pPr>
    </w:p>
    <w:p w14:paraId="000000B7" w14:textId="77777777" w:rsidR="00524B6B" w:rsidRPr="00E60410" w:rsidRDefault="00BD3B1B">
      <w:pPr>
        <w:spacing w:after="240"/>
        <w:rPr>
          <w:highlight w:val="green"/>
          <w:lang w:val="en-GB"/>
        </w:rPr>
      </w:pPr>
      <w:r w:rsidRPr="00E60410">
        <w:rPr>
          <w:lang w:val="en-GB"/>
        </w:rPr>
        <w:br w:type="page"/>
      </w:r>
    </w:p>
    <w:p w14:paraId="000000B8" w14:textId="77777777" w:rsidR="00524B6B" w:rsidRPr="00E60410" w:rsidRDefault="00BD3B1B">
      <w:pPr>
        <w:pStyle w:val="Heading1"/>
        <w:numPr>
          <w:ilvl w:val="0"/>
          <w:numId w:val="5"/>
        </w:numPr>
        <w:rPr>
          <w:lang w:val="en-GB"/>
        </w:rPr>
      </w:pPr>
      <w:bookmarkStart w:id="6" w:name="_Toc82352540"/>
      <w:r w:rsidRPr="00E60410">
        <w:rPr>
          <w:lang w:val="en-GB"/>
        </w:rPr>
        <w:lastRenderedPageBreak/>
        <w:t>Approaches to Sustainability</w:t>
      </w:r>
      <w:bookmarkEnd w:id="6"/>
    </w:p>
    <w:p w14:paraId="000000B9" w14:textId="754A81FE" w:rsidR="00524B6B" w:rsidRPr="00E60410" w:rsidRDefault="0032219F">
      <w:pPr>
        <w:rPr>
          <w:lang w:val="en-GB"/>
        </w:rPr>
      </w:pPr>
      <w:r>
        <w:rPr>
          <w:lang w:val="en-GB"/>
        </w:rPr>
        <w:t>T</w:t>
      </w:r>
      <w:r w:rsidR="00BD3B1B" w:rsidRPr="00E60410">
        <w:rPr>
          <w:lang w:val="en-GB"/>
        </w:rPr>
        <w:t xml:space="preserve">here </w:t>
      </w:r>
      <w:r w:rsidR="003D7CF2">
        <w:rPr>
          <w:lang w:val="en-GB"/>
        </w:rPr>
        <w:t xml:space="preserve">is a hierarchy of approaches </w:t>
      </w:r>
      <w:r w:rsidR="00BD3B1B" w:rsidRPr="00E60410">
        <w:rPr>
          <w:lang w:val="en-GB"/>
        </w:rPr>
        <w:t>to tackling the sustainability challenge</w:t>
      </w:r>
      <w:r>
        <w:rPr>
          <w:lang w:val="en-GB"/>
        </w:rPr>
        <w:t xml:space="preserve">, </w:t>
      </w:r>
      <w:r w:rsidR="003D7CF2">
        <w:rPr>
          <w:lang w:val="en-GB"/>
        </w:rPr>
        <w:t xml:space="preserve">spanning </w:t>
      </w:r>
      <w:r w:rsidRPr="00E60410">
        <w:rPr>
          <w:lang w:val="en-GB"/>
        </w:rPr>
        <w:t>macro to micro</w:t>
      </w:r>
      <w:r>
        <w:rPr>
          <w:lang w:val="en-GB"/>
        </w:rPr>
        <w:t xml:space="preserve"> </w:t>
      </w:r>
      <w:r w:rsidR="003D7CF2">
        <w:rPr>
          <w:lang w:val="en-GB"/>
        </w:rPr>
        <w:t>levels</w:t>
      </w:r>
      <w:r>
        <w:rPr>
          <w:lang w:val="en-GB"/>
        </w:rPr>
        <w:t xml:space="preserve">. </w:t>
      </w:r>
      <w:r w:rsidR="00BD3B1B" w:rsidRPr="00E60410">
        <w:rPr>
          <w:lang w:val="en-GB"/>
        </w:rPr>
        <w:t xml:space="preserve">This section </w:t>
      </w:r>
      <w:r>
        <w:rPr>
          <w:lang w:val="en-GB"/>
        </w:rPr>
        <w:t xml:space="preserve">illustrates a </w:t>
      </w:r>
      <w:r w:rsidR="00BD3B1B" w:rsidRPr="00E60410">
        <w:rPr>
          <w:lang w:val="en-GB"/>
        </w:rPr>
        <w:t xml:space="preserve">few </w:t>
      </w:r>
      <w:r>
        <w:rPr>
          <w:lang w:val="en-GB"/>
        </w:rPr>
        <w:t>examples</w:t>
      </w:r>
      <w:r w:rsidR="00BD3B1B" w:rsidRPr="00E60410">
        <w:rPr>
          <w:lang w:val="en-GB"/>
        </w:rPr>
        <w:t xml:space="preserve">. Although not an exhaustive review, they </w:t>
      </w:r>
      <w:r>
        <w:rPr>
          <w:lang w:val="en-GB"/>
        </w:rPr>
        <w:t xml:space="preserve">show </w:t>
      </w:r>
      <w:r w:rsidR="00BD3B1B" w:rsidRPr="00E60410">
        <w:rPr>
          <w:lang w:val="en-GB"/>
        </w:rPr>
        <w:t xml:space="preserve">how organizations </w:t>
      </w:r>
      <w:r w:rsidR="003D7CF2">
        <w:rPr>
          <w:lang w:val="en-GB"/>
        </w:rPr>
        <w:t xml:space="preserve">and nations </w:t>
      </w:r>
      <w:r w:rsidR="00BD3B1B" w:rsidRPr="00E60410">
        <w:rPr>
          <w:lang w:val="en-GB"/>
        </w:rPr>
        <w:t xml:space="preserve">are </w:t>
      </w:r>
      <w:r>
        <w:rPr>
          <w:lang w:val="en-GB"/>
        </w:rPr>
        <w:t xml:space="preserve">targeting </w:t>
      </w:r>
      <w:r w:rsidR="00BD3B1B" w:rsidRPr="00E60410">
        <w:rPr>
          <w:lang w:val="en-GB"/>
        </w:rPr>
        <w:t xml:space="preserve">common themes and </w:t>
      </w:r>
      <w:r>
        <w:rPr>
          <w:lang w:val="en-GB"/>
        </w:rPr>
        <w:t xml:space="preserve">different </w:t>
      </w:r>
      <w:r w:rsidR="00BD3B1B" w:rsidRPr="00E60410">
        <w:rPr>
          <w:lang w:val="en-GB"/>
        </w:rPr>
        <w:t>areas for action.</w:t>
      </w:r>
    </w:p>
    <w:p w14:paraId="000000BA" w14:textId="3066596D" w:rsidR="00524B6B" w:rsidRPr="00E60410" w:rsidRDefault="00BD3B1B">
      <w:pPr>
        <w:pStyle w:val="Heading2"/>
        <w:rPr>
          <w:lang w:val="en-GB"/>
        </w:rPr>
      </w:pPr>
      <w:bookmarkStart w:id="7" w:name="_Toc82352541"/>
      <w:r w:rsidRPr="00E60410">
        <w:rPr>
          <w:lang w:val="en-GB"/>
        </w:rPr>
        <w:t xml:space="preserve">2.1 Macro </w:t>
      </w:r>
      <w:r w:rsidR="00B838E0">
        <w:rPr>
          <w:lang w:val="en-GB"/>
        </w:rPr>
        <w:t>Approaches to Net-Zero Emissions</w:t>
      </w:r>
      <w:bookmarkEnd w:id="7"/>
    </w:p>
    <w:p w14:paraId="6D9C18C9" w14:textId="4669E216" w:rsidR="0032219F" w:rsidRDefault="00BD3B1B">
      <w:pPr>
        <w:rPr>
          <w:lang w:val="en-GB"/>
        </w:rPr>
      </w:pPr>
      <w:r w:rsidRPr="00E60410">
        <w:rPr>
          <w:lang w:val="en-GB"/>
        </w:rPr>
        <w:t xml:space="preserve">Almost 200 nations submitted plans to cut greenhouse gas emissions </w:t>
      </w:r>
      <w:r w:rsidR="0032219F">
        <w:rPr>
          <w:lang w:val="en-GB"/>
        </w:rPr>
        <w:t xml:space="preserve">through the 2015 </w:t>
      </w:r>
      <w:r w:rsidRPr="00E60410">
        <w:rPr>
          <w:lang w:val="en-GB"/>
        </w:rPr>
        <w:t xml:space="preserve">Paris Agreement. </w:t>
      </w:r>
      <w:r w:rsidR="003D7CF2">
        <w:rPr>
          <w:lang w:val="en-GB"/>
        </w:rPr>
        <w:t>In the intervening years</w:t>
      </w:r>
      <w:r w:rsidRPr="00E60410">
        <w:rPr>
          <w:lang w:val="en-GB"/>
        </w:rPr>
        <w:t xml:space="preserve">, governments, business organizations and segments of the general population have supported the need for action. </w:t>
      </w:r>
    </w:p>
    <w:p w14:paraId="1635F0BB" w14:textId="77777777" w:rsidR="0032219F" w:rsidRDefault="0032219F">
      <w:pPr>
        <w:rPr>
          <w:lang w:val="en-GB"/>
        </w:rPr>
      </w:pPr>
    </w:p>
    <w:p w14:paraId="000000BE" w14:textId="2B67B56B" w:rsidR="00524B6B" w:rsidRPr="00E60410" w:rsidRDefault="00BD3B1B">
      <w:pPr>
        <w:rPr>
          <w:lang w:val="en-GB"/>
        </w:rPr>
      </w:pPr>
      <w:r w:rsidRPr="00E60410">
        <w:rPr>
          <w:lang w:val="en-GB"/>
        </w:rPr>
        <w:t>In 2018, the Intergovernmental Panel on Climate Change (IPCC) warned</w:t>
      </w:r>
      <w:r w:rsidR="003D7CF2">
        <w:rPr>
          <w:rStyle w:val="FootnoteReference"/>
          <w:lang w:val="en-GB"/>
        </w:rPr>
        <w:t xml:space="preserve"> </w:t>
      </w:r>
      <w:r w:rsidRPr="00E60410">
        <w:rPr>
          <w:lang w:val="en-GB"/>
        </w:rPr>
        <w:t>of worsening conditions</w:t>
      </w:r>
      <w:r w:rsidR="0032219F">
        <w:rPr>
          <w:lang w:val="en-GB"/>
        </w:rPr>
        <w:t xml:space="preserve"> </w:t>
      </w:r>
      <w:hyperlink r:id="rId12" w:history="1">
        <w:r w:rsidR="0032219F" w:rsidRPr="003D7CF2">
          <w:rPr>
            <w:rStyle w:val="Hyperlink"/>
            <w:lang w:val="en-GB"/>
          </w:rPr>
          <w:t>if the planet exceeded 1.5 degrees C of warming</w:t>
        </w:r>
      </w:hyperlink>
      <w:r w:rsidRPr="00E60410">
        <w:rPr>
          <w:lang w:val="en-GB"/>
        </w:rPr>
        <w:t xml:space="preserve">. To keep within this goal, the IPCC laid out a target of cutting emissions to net-zero </w:t>
      </w:r>
      <w:r w:rsidR="0032219F">
        <w:rPr>
          <w:lang w:val="en-GB"/>
        </w:rPr>
        <w:t xml:space="preserve">(NZE) </w:t>
      </w:r>
      <w:r w:rsidRPr="00E60410">
        <w:rPr>
          <w:lang w:val="en-GB"/>
        </w:rPr>
        <w:t xml:space="preserve">by 2050. Net-zero </w:t>
      </w:r>
      <w:r w:rsidR="004D54E2">
        <w:rPr>
          <w:lang w:val="en-GB"/>
        </w:rPr>
        <w:t xml:space="preserve">involves </w:t>
      </w:r>
      <w:r w:rsidRPr="00E60410">
        <w:rPr>
          <w:lang w:val="en-GB"/>
        </w:rPr>
        <w:t xml:space="preserve">a radical change across the entire economy, doing away with fossil fuels and other sources of emissions wherever possible. It involves a future of energy based on renewables, carbon capture and new energy technologies by the 2050s. This is a significant substitution from present day energy sources which are dominated by oil, </w:t>
      </w:r>
      <w:r w:rsidR="00E60410" w:rsidRPr="00E60410">
        <w:rPr>
          <w:lang w:val="en-GB"/>
        </w:rPr>
        <w:t>gas,</w:t>
      </w:r>
      <w:r w:rsidRPr="00E60410">
        <w:rPr>
          <w:lang w:val="en-GB"/>
        </w:rPr>
        <w:t xml:space="preserve"> and coal. For other energy sources, the solution is to match every ton of CO2 emitted with a ton removed from the atmosphere.</w:t>
      </w:r>
    </w:p>
    <w:p w14:paraId="000000BF" w14:textId="77777777" w:rsidR="00524B6B" w:rsidRPr="00E60410" w:rsidRDefault="00524B6B">
      <w:pPr>
        <w:rPr>
          <w:lang w:val="en-GB"/>
        </w:rPr>
      </w:pPr>
    </w:p>
    <w:p w14:paraId="000000C0" w14:textId="70C8C788" w:rsidR="00524B6B" w:rsidRPr="00E60410" w:rsidRDefault="0032219F">
      <w:pPr>
        <w:rPr>
          <w:lang w:val="en-GB"/>
        </w:rPr>
      </w:pPr>
      <w:r>
        <w:rPr>
          <w:lang w:val="en-GB"/>
        </w:rPr>
        <w:fldChar w:fldCharType="begin"/>
      </w:r>
      <w:r>
        <w:rPr>
          <w:lang w:val="en-GB"/>
        </w:rPr>
        <w:instrText xml:space="preserve"> REF _Ref81218809 \h </w:instrText>
      </w:r>
      <w:r>
        <w:rPr>
          <w:lang w:val="en-GB"/>
        </w:rPr>
      </w:r>
      <w:r>
        <w:rPr>
          <w:lang w:val="en-GB"/>
        </w:rPr>
        <w:fldChar w:fldCharType="separate"/>
      </w:r>
      <w:r w:rsidR="00B405D3">
        <w:t xml:space="preserve">Figure </w:t>
      </w:r>
      <w:r w:rsidR="00B405D3">
        <w:rPr>
          <w:noProof/>
        </w:rPr>
        <w:t>2</w:t>
      </w:r>
      <w:r>
        <w:rPr>
          <w:lang w:val="en-GB"/>
        </w:rPr>
        <w:fldChar w:fldCharType="end"/>
      </w:r>
      <w:r>
        <w:rPr>
          <w:lang w:val="en-GB"/>
        </w:rPr>
        <w:t xml:space="preserve"> </w:t>
      </w:r>
      <w:r w:rsidR="00BD3B1B" w:rsidRPr="00E60410">
        <w:rPr>
          <w:lang w:val="en-GB"/>
        </w:rPr>
        <w:t xml:space="preserve">below provides recommendations from </w:t>
      </w:r>
      <w:r w:rsidR="004D54E2">
        <w:rPr>
          <w:lang w:val="en-GB"/>
        </w:rPr>
        <w:t xml:space="preserve">the </w:t>
      </w:r>
      <w:r w:rsidR="00BD3B1B" w:rsidRPr="00E60410">
        <w:rPr>
          <w:lang w:val="en-GB"/>
        </w:rPr>
        <w:t>IEA (International Energy Agency) on the path to net-zero emissions</w:t>
      </w:r>
      <w:r w:rsidR="004D54E2">
        <w:rPr>
          <w:lang w:val="en-GB"/>
        </w:rPr>
        <w:t xml:space="preserve"> by 2050</w:t>
      </w:r>
      <w:r w:rsidR="00BD3B1B" w:rsidRPr="00E60410">
        <w:rPr>
          <w:lang w:val="en-GB"/>
        </w:rPr>
        <w:t xml:space="preserve">. </w:t>
      </w:r>
      <w:r w:rsidR="004D54E2">
        <w:rPr>
          <w:lang w:val="en-GB"/>
        </w:rPr>
        <w:t xml:space="preserve">These </w:t>
      </w:r>
      <w:r w:rsidR="00BD3B1B" w:rsidRPr="00E60410">
        <w:rPr>
          <w:lang w:val="en-GB"/>
        </w:rPr>
        <w:t xml:space="preserve">include </w:t>
      </w:r>
      <w:r w:rsidR="00E60410" w:rsidRPr="00E60410">
        <w:rPr>
          <w:lang w:val="en-GB"/>
        </w:rPr>
        <w:t>behavioural</w:t>
      </w:r>
      <w:r w:rsidR="00BD3B1B" w:rsidRPr="00E60410">
        <w:rPr>
          <w:lang w:val="en-GB"/>
        </w:rPr>
        <w:t xml:space="preserve"> change</w:t>
      </w:r>
      <w:r w:rsidR="003D7CF2">
        <w:rPr>
          <w:lang w:val="en-GB"/>
        </w:rPr>
        <w:t xml:space="preserve"> to moderate and avoid demand, efficiency improvements in different industry sectors, the introduction of alternative sources of energy and</w:t>
      </w:r>
      <w:r w:rsidR="00BD3B1B" w:rsidRPr="00E60410">
        <w:rPr>
          <w:lang w:val="en-GB"/>
        </w:rPr>
        <w:t xml:space="preserve">, </w:t>
      </w:r>
      <w:r w:rsidR="003D7CF2">
        <w:rPr>
          <w:lang w:val="en-GB"/>
        </w:rPr>
        <w:t xml:space="preserve">measures to enable carbon-capture, </w:t>
      </w:r>
      <w:proofErr w:type="gramStart"/>
      <w:r w:rsidR="003D7CF2">
        <w:rPr>
          <w:lang w:val="en-GB"/>
        </w:rPr>
        <w:t>usage</w:t>
      </w:r>
      <w:proofErr w:type="gramEnd"/>
      <w:r w:rsidR="003D7CF2">
        <w:rPr>
          <w:lang w:val="en-GB"/>
        </w:rPr>
        <w:t xml:space="preserve"> and storage (CCUS)</w:t>
      </w:r>
      <w:r w:rsidR="00BD3B1B" w:rsidRPr="00E60410">
        <w:rPr>
          <w:lang w:val="en-GB"/>
        </w:rPr>
        <w:t>.</w:t>
      </w:r>
      <w:r w:rsidR="003D7CF2">
        <w:rPr>
          <w:lang w:val="en-GB"/>
        </w:rPr>
        <w:t xml:space="preserve"> Technology innovation and r</w:t>
      </w:r>
      <w:r w:rsidR="00BD3B1B" w:rsidRPr="00E60410">
        <w:rPr>
          <w:lang w:val="en-GB"/>
        </w:rPr>
        <w:t xml:space="preserve">egulatory policies play a </w:t>
      </w:r>
      <w:r w:rsidR="003D7CF2">
        <w:rPr>
          <w:lang w:val="en-GB"/>
        </w:rPr>
        <w:t xml:space="preserve">significant </w:t>
      </w:r>
      <w:r w:rsidR="00BD3B1B" w:rsidRPr="00E60410">
        <w:rPr>
          <w:lang w:val="en-GB"/>
        </w:rPr>
        <w:t xml:space="preserve">role in enabling </w:t>
      </w:r>
      <w:r w:rsidR="00183AC9">
        <w:rPr>
          <w:lang w:val="en-GB"/>
        </w:rPr>
        <w:t xml:space="preserve">the adoption and </w:t>
      </w:r>
      <w:r w:rsidR="00BD3B1B" w:rsidRPr="00E60410">
        <w:rPr>
          <w:lang w:val="en-GB"/>
        </w:rPr>
        <w:t>proliferation of many of these</w:t>
      </w:r>
      <w:r w:rsidR="004D54E2">
        <w:rPr>
          <w:lang w:val="en-GB"/>
        </w:rPr>
        <w:t xml:space="preserve"> proposals</w:t>
      </w:r>
      <w:r w:rsidR="00BD3B1B" w:rsidRPr="00E60410">
        <w:rPr>
          <w:lang w:val="en-GB"/>
        </w:rPr>
        <w:t xml:space="preserve">. </w:t>
      </w:r>
    </w:p>
    <w:p w14:paraId="000000C1" w14:textId="77777777" w:rsidR="00524B6B" w:rsidRPr="00E60410" w:rsidRDefault="00524B6B">
      <w:pPr>
        <w:rPr>
          <w:lang w:val="en-GB"/>
        </w:rPr>
      </w:pPr>
    </w:p>
    <w:p w14:paraId="546C12F5" w14:textId="77777777" w:rsidR="0032219F" w:rsidRDefault="00BD3B1B" w:rsidP="0032219F">
      <w:pPr>
        <w:keepNext/>
      </w:pPr>
      <w:r w:rsidRPr="00E60410">
        <w:rPr>
          <w:noProof/>
          <w:lang w:val="en-GB"/>
        </w:rPr>
        <w:drawing>
          <wp:inline distT="114300" distB="114300" distL="114300" distR="114300" wp14:anchorId="07D043FC" wp14:editId="5BCCDAC2">
            <wp:extent cx="5943600" cy="2425700"/>
            <wp:effectExtent l="0" t="0" r="0" b="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5943600" cy="2425700"/>
                    </a:xfrm>
                    <a:prstGeom prst="rect">
                      <a:avLst/>
                    </a:prstGeom>
                    <a:ln/>
                  </pic:spPr>
                </pic:pic>
              </a:graphicData>
            </a:graphic>
          </wp:inline>
        </w:drawing>
      </w:r>
    </w:p>
    <w:p w14:paraId="000000C2" w14:textId="4D985B92" w:rsidR="00524B6B" w:rsidRPr="00E60410" w:rsidRDefault="0032219F" w:rsidP="0032219F">
      <w:pPr>
        <w:pStyle w:val="Caption"/>
        <w:rPr>
          <w:lang w:val="en-GB"/>
        </w:rPr>
      </w:pPr>
      <w:bookmarkStart w:id="8" w:name="_Ref81218809"/>
      <w:r>
        <w:t xml:space="preserve">Figure </w:t>
      </w:r>
      <w:fldSimple w:instr=" SEQ Figure \* ARABIC ">
        <w:r w:rsidR="00B405D3">
          <w:rPr>
            <w:noProof/>
          </w:rPr>
          <w:t>2</w:t>
        </w:r>
      </w:fldSimple>
      <w:bookmarkEnd w:id="8"/>
      <w:r>
        <w:t xml:space="preserve"> </w:t>
      </w:r>
      <w:r w:rsidRPr="00A3156D">
        <w:t>Average annual CO2 reductions from 2020 to N</w:t>
      </w:r>
      <w:r>
        <w:t xml:space="preserve">et </w:t>
      </w:r>
      <w:r w:rsidRPr="00A3156D">
        <w:t>Z</w:t>
      </w:r>
      <w:r>
        <w:t xml:space="preserve">ero </w:t>
      </w:r>
      <w:r w:rsidRPr="00A3156D">
        <w:t>E</w:t>
      </w:r>
      <w:r>
        <w:t>missions</w:t>
      </w:r>
      <w:r w:rsidRPr="00A3156D">
        <w:t xml:space="preserve"> in 2050</w:t>
      </w:r>
    </w:p>
    <w:p w14:paraId="000000C4" w14:textId="77777777" w:rsidR="00524B6B" w:rsidRPr="00E60410" w:rsidRDefault="00BD3B1B">
      <w:pPr>
        <w:rPr>
          <w:lang w:val="en-GB"/>
        </w:rPr>
      </w:pPr>
      <w:r w:rsidRPr="00E60410">
        <w:rPr>
          <w:lang w:val="en-GB"/>
        </w:rPr>
        <w:lastRenderedPageBreak/>
        <w:t>The rapid deployment of more energy‐efficient technologies, electrification of end‐uses and swift growth of renewables all play a central part in reducing emissions across all sectors in the NZE. By 2050, nearly 90% of all electricity generation is from renewables, as is around 25% of non‐electric energy use in industry and buildings.</w:t>
      </w:r>
    </w:p>
    <w:p w14:paraId="000000C5" w14:textId="77777777" w:rsidR="00524B6B" w:rsidRPr="00E60410" w:rsidRDefault="00524B6B">
      <w:pPr>
        <w:rPr>
          <w:lang w:val="en-GB"/>
        </w:rPr>
      </w:pPr>
    </w:p>
    <w:p w14:paraId="000000C6" w14:textId="69478CFD" w:rsidR="00524B6B" w:rsidRPr="00E60410" w:rsidRDefault="00BD3B1B">
      <w:pPr>
        <w:rPr>
          <w:lang w:val="en-GB"/>
        </w:rPr>
      </w:pPr>
      <w:r w:rsidRPr="00E60410">
        <w:rPr>
          <w:lang w:val="en-GB"/>
        </w:rPr>
        <w:t xml:space="preserve">Around 2.5% of existing residential buildings in advanced economies are retrofitted each year to 2050 in the NZE </w:t>
      </w:r>
      <w:r w:rsidR="00183AC9">
        <w:rPr>
          <w:lang w:val="en-GB"/>
        </w:rPr>
        <w:t xml:space="preserve">scenario </w:t>
      </w:r>
      <w:r w:rsidRPr="00E60410">
        <w:rPr>
          <w:lang w:val="en-GB"/>
        </w:rPr>
        <w:t>to comply with zero‐carbon‐ready building standards</w:t>
      </w:r>
      <w:r w:rsidR="00183AC9">
        <w:rPr>
          <w:lang w:val="en-GB"/>
        </w:rPr>
        <w:t xml:space="preserve">. This compares </w:t>
      </w:r>
      <w:r w:rsidRPr="00E60410">
        <w:rPr>
          <w:lang w:val="en-GB"/>
        </w:rPr>
        <w:t xml:space="preserve">with a current retrofit rate of less than 1%. A zero‐carbon‐ready building is highly energy efficient and uses renewable energy directly or </w:t>
      </w:r>
      <w:r w:rsidR="00183AC9">
        <w:rPr>
          <w:lang w:val="en-GB"/>
        </w:rPr>
        <w:t xml:space="preserve">energy </w:t>
      </w:r>
      <w:r w:rsidRPr="00E60410">
        <w:rPr>
          <w:lang w:val="en-GB"/>
        </w:rPr>
        <w:t>from a</w:t>
      </w:r>
      <w:r w:rsidR="00183AC9">
        <w:rPr>
          <w:lang w:val="en-GB"/>
        </w:rPr>
        <w:t xml:space="preserve"> </w:t>
      </w:r>
      <w:r w:rsidR="00183AC9" w:rsidRPr="00E60410">
        <w:rPr>
          <w:lang w:val="en-GB"/>
        </w:rPr>
        <w:t>fully decarbonised</w:t>
      </w:r>
      <w:r w:rsidR="00183AC9">
        <w:rPr>
          <w:lang w:val="en-GB"/>
        </w:rPr>
        <w:t xml:space="preserve"> </w:t>
      </w:r>
      <w:r w:rsidRPr="00E60410">
        <w:rPr>
          <w:lang w:val="en-GB"/>
        </w:rPr>
        <w:t xml:space="preserve">energy supply. </w:t>
      </w:r>
    </w:p>
    <w:p w14:paraId="000000C7" w14:textId="77777777" w:rsidR="00524B6B" w:rsidRPr="00E60410" w:rsidRDefault="00524B6B">
      <w:pPr>
        <w:rPr>
          <w:lang w:val="en-GB"/>
        </w:rPr>
      </w:pPr>
    </w:p>
    <w:p w14:paraId="000000C8" w14:textId="484EEB5D" w:rsidR="00524B6B" w:rsidRPr="00E60410" w:rsidRDefault="00BD3B1B">
      <w:pPr>
        <w:rPr>
          <w:lang w:val="en-GB"/>
        </w:rPr>
      </w:pPr>
      <w:r w:rsidRPr="00E60410">
        <w:rPr>
          <w:lang w:val="en-GB"/>
        </w:rPr>
        <w:t>Government action is central to achieve net‐zero emissions globally by 2050. An unprecedented level of international co‐operation is needed</w:t>
      </w:r>
      <w:r w:rsidR="004D54E2">
        <w:rPr>
          <w:lang w:val="en-GB"/>
        </w:rPr>
        <w:t xml:space="preserve"> </w:t>
      </w:r>
      <w:r w:rsidRPr="00E60410">
        <w:rPr>
          <w:lang w:val="en-GB"/>
        </w:rPr>
        <w:t xml:space="preserve">to accelerate innovation, develop international </w:t>
      </w:r>
      <w:r w:rsidR="00E60410" w:rsidRPr="00E60410">
        <w:rPr>
          <w:lang w:val="en-GB"/>
        </w:rPr>
        <w:t>standards,</w:t>
      </w:r>
      <w:r w:rsidRPr="00E60410">
        <w:rPr>
          <w:lang w:val="en-GB"/>
        </w:rPr>
        <w:t xml:space="preserve"> and facilitate new infrastructure to link national markets. Without the co‐operation assumed in the </w:t>
      </w:r>
      <w:r w:rsidR="00183AC9">
        <w:rPr>
          <w:lang w:val="en-GB"/>
        </w:rPr>
        <w:t xml:space="preserve">NZE </w:t>
      </w:r>
      <w:r w:rsidRPr="00E60410">
        <w:rPr>
          <w:lang w:val="en-GB"/>
        </w:rPr>
        <w:t>scenario, the transition would be delayed by decades.</w:t>
      </w:r>
    </w:p>
    <w:p w14:paraId="000000C9" w14:textId="77777777" w:rsidR="00524B6B" w:rsidRPr="00E60410" w:rsidRDefault="00BD3B1B">
      <w:pPr>
        <w:pStyle w:val="Heading2"/>
        <w:rPr>
          <w:lang w:val="en-GB"/>
        </w:rPr>
      </w:pPr>
      <w:bookmarkStart w:id="9" w:name="_Toc82352542"/>
      <w:r w:rsidRPr="00E60410">
        <w:rPr>
          <w:lang w:val="en-GB"/>
        </w:rPr>
        <w:t>2.2 An Example of Regional Action - the EU’s Green Deal</w:t>
      </w:r>
      <w:bookmarkEnd w:id="9"/>
    </w:p>
    <w:p w14:paraId="000000CB" w14:textId="15E1C5EB" w:rsidR="00524B6B" w:rsidRPr="00E60410" w:rsidRDefault="00BD3B1B">
      <w:pPr>
        <w:rPr>
          <w:lang w:val="en-GB"/>
        </w:rPr>
      </w:pPr>
      <w:r w:rsidRPr="00E60410">
        <w:rPr>
          <w:lang w:val="en-GB"/>
        </w:rPr>
        <w:t>The European Green Deal is a set of policy initiatives by the European Commission which aim</w:t>
      </w:r>
      <w:r w:rsidR="00183AC9">
        <w:rPr>
          <w:lang w:val="en-GB"/>
        </w:rPr>
        <w:t>s</w:t>
      </w:r>
      <w:r w:rsidRPr="00E60410">
        <w:rPr>
          <w:lang w:val="en-GB"/>
        </w:rPr>
        <w:t xml:space="preserve"> </w:t>
      </w:r>
      <w:r w:rsidR="00183AC9">
        <w:rPr>
          <w:lang w:val="en-GB"/>
        </w:rPr>
        <w:t xml:space="preserve">to make </w:t>
      </w:r>
      <w:r w:rsidRPr="00E60410">
        <w:rPr>
          <w:lang w:val="en-GB"/>
        </w:rPr>
        <w:t>Europe climate neutral in 2050. The European Commission's climate change strategy, launched in 2020, focuse</w:t>
      </w:r>
      <w:r w:rsidR="00183AC9">
        <w:rPr>
          <w:lang w:val="en-GB"/>
        </w:rPr>
        <w:t>s</w:t>
      </w:r>
      <w:r w:rsidRPr="00E60410">
        <w:rPr>
          <w:lang w:val="en-GB"/>
        </w:rPr>
        <w:t xml:space="preserve"> on a promise to make Europe a net-zero emitter of greenhouse gases by 2050 and to demonstrate that economies will develop without increasing resource usage. It includes measures to ensure that nations that are already reliant on fossil fuels are not left behind in the transition to renewable energy. </w:t>
      </w:r>
    </w:p>
    <w:p w14:paraId="000000CC" w14:textId="77777777" w:rsidR="00524B6B" w:rsidRPr="00E60410" w:rsidRDefault="00524B6B">
      <w:pPr>
        <w:rPr>
          <w:lang w:val="en-GB"/>
        </w:rPr>
      </w:pPr>
    </w:p>
    <w:p w14:paraId="000000CD" w14:textId="2BAAC0A4" w:rsidR="00524B6B" w:rsidRPr="00E60410" w:rsidRDefault="00BD3B1B">
      <w:pPr>
        <w:rPr>
          <w:lang w:val="en-GB"/>
        </w:rPr>
      </w:pPr>
      <w:r w:rsidRPr="00E60410">
        <w:rPr>
          <w:lang w:val="en-GB"/>
        </w:rPr>
        <w:t xml:space="preserve">The scope of action has a broader </w:t>
      </w:r>
      <w:r w:rsidR="00183AC9">
        <w:rPr>
          <w:lang w:val="en-GB"/>
        </w:rPr>
        <w:t xml:space="preserve">coverage </w:t>
      </w:r>
      <w:r w:rsidRPr="00E60410">
        <w:rPr>
          <w:lang w:val="en-GB"/>
        </w:rPr>
        <w:t xml:space="preserve">than emissions targets. It </w:t>
      </w:r>
      <w:r w:rsidR="00183AC9">
        <w:rPr>
          <w:lang w:val="en-GB"/>
        </w:rPr>
        <w:t xml:space="preserve">contains </w:t>
      </w:r>
      <w:r w:rsidRPr="00E60410">
        <w:rPr>
          <w:lang w:val="en-GB"/>
        </w:rPr>
        <w:t xml:space="preserve">initiatives to promote </w:t>
      </w:r>
      <w:r w:rsidR="00183AC9">
        <w:rPr>
          <w:lang w:val="en-GB"/>
        </w:rPr>
        <w:t xml:space="preserve">widespread </w:t>
      </w:r>
      <w:r w:rsidRPr="00E60410">
        <w:rPr>
          <w:lang w:val="en-GB"/>
        </w:rPr>
        <w:t>collaboration and change management</w:t>
      </w:r>
      <w:r w:rsidR="00183AC9">
        <w:rPr>
          <w:lang w:val="en-GB"/>
        </w:rPr>
        <w:t xml:space="preserve"> as  reflected </w:t>
      </w:r>
      <w:r w:rsidRPr="00E60410">
        <w:rPr>
          <w:lang w:val="en-GB"/>
        </w:rPr>
        <w:t>in its plan</w:t>
      </w:r>
      <w:r w:rsidR="00183AC9">
        <w:rPr>
          <w:lang w:val="en-GB"/>
        </w:rPr>
        <w:t>s to</w:t>
      </w:r>
      <w:r w:rsidRPr="00E60410">
        <w:rPr>
          <w:lang w:val="en-GB"/>
        </w:rPr>
        <w:t>:</w:t>
      </w:r>
    </w:p>
    <w:p w14:paraId="000000CE" w14:textId="77777777" w:rsidR="00524B6B" w:rsidRPr="00E60410" w:rsidRDefault="00524B6B">
      <w:pPr>
        <w:rPr>
          <w:color w:val="202122"/>
          <w:highlight w:val="white"/>
          <w:lang w:val="en-GB"/>
        </w:rPr>
      </w:pPr>
    </w:p>
    <w:p w14:paraId="000000CF" w14:textId="77777777" w:rsidR="00524B6B" w:rsidRPr="00E60410" w:rsidRDefault="00BD3B1B">
      <w:pPr>
        <w:numPr>
          <w:ilvl w:val="0"/>
          <w:numId w:val="2"/>
        </w:numPr>
        <w:rPr>
          <w:color w:val="202122"/>
          <w:highlight w:val="white"/>
          <w:lang w:val="en-GB"/>
        </w:rPr>
      </w:pPr>
      <w:r w:rsidRPr="00E60410">
        <w:rPr>
          <w:color w:val="202122"/>
          <w:highlight w:val="white"/>
          <w:lang w:val="en-GB"/>
        </w:rPr>
        <w:t>Invest in environmentally friendly technologies</w:t>
      </w:r>
    </w:p>
    <w:p w14:paraId="000000D0" w14:textId="77777777" w:rsidR="00524B6B" w:rsidRPr="00E60410" w:rsidRDefault="00BD3B1B">
      <w:pPr>
        <w:numPr>
          <w:ilvl w:val="0"/>
          <w:numId w:val="2"/>
        </w:numPr>
        <w:rPr>
          <w:color w:val="202122"/>
          <w:highlight w:val="white"/>
          <w:lang w:val="en-GB"/>
        </w:rPr>
      </w:pPr>
      <w:r w:rsidRPr="00E60410">
        <w:rPr>
          <w:color w:val="202122"/>
          <w:highlight w:val="white"/>
          <w:lang w:val="en-GB"/>
        </w:rPr>
        <w:t>Support industry to innovate</w:t>
      </w:r>
    </w:p>
    <w:p w14:paraId="000000D1" w14:textId="52CE7053" w:rsidR="00524B6B" w:rsidRPr="00E60410" w:rsidRDefault="00BD3B1B">
      <w:pPr>
        <w:numPr>
          <w:ilvl w:val="0"/>
          <w:numId w:val="2"/>
        </w:numPr>
        <w:rPr>
          <w:color w:val="202122"/>
          <w:highlight w:val="white"/>
          <w:lang w:val="en-GB"/>
        </w:rPr>
      </w:pPr>
      <w:r w:rsidRPr="00E60410">
        <w:rPr>
          <w:color w:val="202122"/>
          <w:highlight w:val="white"/>
          <w:lang w:val="en-GB"/>
        </w:rPr>
        <w:t xml:space="preserve">Roll out cleaner, </w:t>
      </w:r>
      <w:r w:rsidR="00E60410" w:rsidRPr="00E60410">
        <w:rPr>
          <w:color w:val="202122"/>
          <w:highlight w:val="white"/>
          <w:lang w:val="en-GB"/>
        </w:rPr>
        <w:t>cheaper,</w:t>
      </w:r>
      <w:r w:rsidRPr="00E60410">
        <w:rPr>
          <w:color w:val="202122"/>
          <w:highlight w:val="white"/>
          <w:lang w:val="en-GB"/>
        </w:rPr>
        <w:t xml:space="preserve"> and healthier forms of private and public transport</w:t>
      </w:r>
    </w:p>
    <w:p w14:paraId="000000D2" w14:textId="77777777" w:rsidR="00524B6B" w:rsidRPr="00E60410" w:rsidRDefault="00BD3B1B">
      <w:pPr>
        <w:numPr>
          <w:ilvl w:val="0"/>
          <w:numId w:val="2"/>
        </w:numPr>
        <w:rPr>
          <w:color w:val="202122"/>
          <w:highlight w:val="white"/>
          <w:lang w:val="en-GB"/>
        </w:rPr>
      </w:pPr>
      <w:r w:rsidRPr="00E60410">
        <w:rPr>
          <w:color w:val="202122"/>
          <w:highlight w:val="white"/>
          <w:lang w:val="en-GB"/>
        </w:rPr>
        <w:t>Decarbonize the energy sector</w:t>
      </w:r>
    </w:p>
    <w:p w14:paraId="000000D3" w14:textId="77777777" w:rsidR="00524B6B" w:rsidRPr="00E60410" w:rsidRDefault="00BD3B1B">
      <w:pPr>
        <w:numPr>
          <w:ilvl w:val="0"/>
          <w:numId w:val="2"/>
        </w:numPr>
        <w:rPr>
          <w:color w:val="202122"/>
          <w:highlight w:val="white"/>
          <w:lang w:val="en-GB"/>
        </w:rPr>
      </w:pPr>
      <w:r w:rsidRPr="00E60410">
        <w:rPr>
          <w:color w:val="202122"/>
          <w:highlight w:val="white"/>
          <w:lang w:val="en-GB"/>
        </w:rPr>
        <w:t>Ensure buildings are more energy efficient</w:t>
      </w:r>
    </w:p>
    <w:p w14:paraId="000000D4" w14:textId="77777777" w:rsidR="00524B6B" w:rsidRPr="00E60410" w:rsidRDefault="00BD3B1B">
      <w:pPr>
        <w:numPr>
          <w:ilvl w:val="0"/>
          <w:numId w:val="2"/>
        </w:numPr>
        <w:rPr>
          <w:color w:val="202122"/>
          <w:highlight w:val="white"/>
          <w:lang w:val="en-GB"/>
        </w:rPr>
      </w:pPr>
      <w:r w:rsidRPr="00E60410">
        <w:rPr>
          <w:color w:val="202122"/>
          <w:highlight w:val="white"/>
          <w:lang w:val="en-GB"/>
        </w:rPr>
        <w:t>Work with international partners to improve global environmental standards</w:t>
      </w:r>
    </w:p>
    <w:p w14:paraId="000000D5" w14:textId="77777777" w:rsidR="00524B6B" w:rsidRPr="00E60410" w:rsidRDefault="00524B6B">
      <w:pPr>
        <w:rPr>
          <w:color w:val="202122"/>
          <w:highlight w:val="white"/>
          <w:lang w:val="en-GB"/>
        </w:rPr>
      </w:pPr>
    </w:p>
    <w:p w14:paraId="000000D6" w14:textId="40318BDC" w:rsidR="00524B6B" w:rsidRDefault="00BD3B1B">
      <w:pPr>
        <w:rPr>
          <w:lang w:val="en-GB"/>
        </w:rPr>
      </w:pPr>
      <w:r w:rsidRPr="00E60410">
        <w:rPr>
          <w:lang w:val="en-GB"/>
        </w:rPr>
        <w:t xml:space="preserve">As a measure of the importance of these issues, funding to support Green Deal initiatives will draw on the EU’s seven-year budget as well as an amount equal to one third of the 1.8 </w:t>
      </w:r>
      <w:r w:rsidR="00367319" w:rsidRPr="00E60410">
        <w:rPr>
          <w:lang w:val="en-GB"/>
        </w:rPr>
        <w:t>trillion-euro</w:t>
      </w:r>
      <w:r w:rsidRPr="00E60410">
        <w:rPr>
          <w:lang w:val="en-GB"/>
        </w:rPr>
        <w:t xml:space="preserve"> investments from the Next</w:t>
      </w:r>
      <w:r w:rsidR="00E60410">
        <w:rPr>
          <w:lang w:val="en-GB"/>
        </w:rPr>
        <w:t xml:space="preserve"> </w:t>
      </w:r>
      <w:r w:rsidRPr="00E60410">
        <w:rPr>
          <w:lang w:val="en-GB"/>
        </w:rPr>
        <w:t>Generation</w:t>
      </w:r>
      <w:r w:rsidR="00E60410">
        <w:rPr>
          <w:lang w:val="en-GB"/>
        </w:rPr>
        <w:t xml:space="preserve"> </w:t>
      </w:r>
      <w:r w:rsidRPr="00E60410">
        <w:rPr>
          <w:lang w:val="en-GB"/>
        </w:rPr>
        <w:t>EU Recovery Plan.</w:t>
      </w:r>
    </w:p>
    <w:p w14:paraId="47CF5A34" w14:textId="78C44A37" w:rsidR="00635678" w:rsidRDefault="00635678">
      <w:pPr>
        <w:rPr>
          <w:lang w:val="en-GB"/>
        </w:rPr>
      </w:pPr>
    </w:p>
    <w:p w14:paraId="000000D7" w14:textId="28E0CC9C" w:rsidR="00524B6B" w:rsidRPr="00E60410" w:rsidRDefault="00635678" w:rsidP="00635678">
      <w:pPr>
        <w:jc w:val="both"/>
        <w:rPr>
          <w:color w:val="202122"/>
          <w:sz w:val="21"/>
          <w:szCs w:val="21"/>
          <w:highlight w:val="white"/>
          <w:lang w:val="en-GB"/>
        </w:rPr>
      </w:pPr>
      <w:r>
        <w:rPr>
          <w:lang w:val="en-GB"/>
        </w:rPr>
        <w:t xml:space="preserve">The </w:t>
      </w:r>
      <w:r w:rsidRPr="00822120">
        <w:rPr>
          <w:lang w:val="en-GB"/>
        </w:rPr>
        <w:t>impact of the Green Deal</w:t>
      </w:r>
      <w:r>
        <w:rPr>
          <w:lang w:val="en-GB"/>
        </w:rPr>
        <w:t xml:space="preserve"> in the IoT and Edge Computing domain features two issues. One involves the use </w:t>
      </w:r>
      <w:r w:rsidRPr="00822120">
        <w:rPr>
          <w:lang w:val="en-GB"/>
        </w:rPr>
        <w:t>IoT and Edge Computing technologies to improve the environment</w:t>
      </w:r>
      <w:r w:rsidR="00183AC9">
        <w:rPr>
          <w:lang w:val="en-GB"/>
        </w:rPr>
        <w:t>al</w:t>
      </w:r>
      <w:r w:rsidRPr="00822120">
        <w:rPr>
          <w:lang w:val="en-GB"/>
        </w:rPr>
        <w:t xml:space="preserve"> impact of </w:t>
      </w:r>
      <w:r>
        <w:rPr>
          <w:lang w:val="en-GB"/>
        </w:rPr>
        <w:t xml:space="preserve">applications in </w:t>
      </w:r>
      <w:r w:rsidRPr="00822120">
        <w:rPr>
          <w:lang w:val="en-GB"/>
        </w:rPr>
        <w:t>other domains</w:t>
      </w:r>
      <w:r>
        <w:rPr>
          <w:lang w:val="en-GB"/>
        </w:rPr>
        <w:t xml:space="preserve">. The second is to improve </w:t>
      </w:r>
      <w:r w:rsidRPr="00822120">
        <w:rPr>
          <w:lang w:val="en-GB"/>
        </w:rPr>
        <w:t>the energy footprint of IoT based systems</w:t>
      </w:r>
      <w:r>
        <w:rPr>
          <w:lang w:val="en-GB"/>
        </w:rPr>
        <w:t>. T</w:t>
      </w:r>
      <w:r w:rsidR="00183AC9">
        <w:rPr>
          <w:lang w:val="en-GB"/>
        </w:rPr>
        <w:t>he scope of th</w:t>
      </w:r>
      <w:r>
        <w:rPr>
          <w:lang w:val="en-GB"/>
        </w:rPr>
        <w:t xml:space="preserve">is encompasses their </w:t>
      </w:r>
      <w:r w:rsidRPr="00822120">
        <w:rPr>
          <w:lang w:val="en-GB"/>
        </w:rPr>
        <w:t xml:space="preserve">use and energy consumption, the disposal or </w:t>
      </w:r>
      <w:r w:rsidRPr="00822120">
        <w:rPr>
          <w:lang w:val="en-GB"/>
        </w:rPr>
        <w:lastRenderedPageBreak/>
        <w:t xml:space="preserve">refurbishing of obsolete devices, the design and manufacturing of energy and </w:t>
      </w:r>
      <w:r>
        <w:rPr>
          <w:lang w:val="en-GB"/>
        </w:rPr>
        <w:t xml:space="preserve">the design of </w:t>
      </w:r>
      <w:r w:rsidRPr="00822120">
        <w:rPr>
          <w:lang w:val="en-GB"/>
        </w:rPr>
        <w:t>environment-friendly new devices.</w:t>
      </w:r>
    </w:p>
    <w:p w14:paraId="000000D9" w14:textId="0741B626" w:rsidR="00524B6B" w:rsidRPr="00E60410" w:rsidRDefault="00BD3B1B" w:rsidP="004D54E2">
      <w:pPr>
        <w:pStyle w:val="Heading2"/>
        <w:rPr>
          <w:lang w:val="en-GB"/>
        </w:rPr>
      </w:pPr>
      <w:bookmarkStart w:id="10" w:name="_Toc82352543"/>
      <w:r w:rsidRPr="00E60410">
        <w:rPr>
          <w:lang w:val="en-GB"/>
        </w:rPr>
        <w:t xml:space="preserve">2.3 Private Sector </w:t>
      </w:r>
      <w:r w:rsidR="0075756F">
        <w:rPr>
          <w:lang w:val="en-GB"/>
        </w:rPr>
        <w:t xml:space="preserve">Strategies </w:t>
      </w:r>
      <w:r w:rsidR="0029498B">
        <w:rPr>
          <w:lang w:val="en-GB"/>
        </w:rPr>
        <w:t xml:space="preserve">to Address </w:t>
      </w:r>
      <w:r w:rsidR="0075756F">
        <w:rPr>
          <w:lang w:val="en-GB"/>
        </w:rPr>
        <w:t>Sustainability</w:t>
      </w:r>
      <w:bookmarkEnd w:id="10"/>
      <w:r w:rsidRPr="00E60410">
        <w:rPr>
          <w:lang w:val="en-GB"/>
        </w:rPr>
        <w:t xml:space="preserve"> </w:t>
      </w:r>
    </w:p>
    <w:p w14:paraId="000000DA" w14:textId="4DA7B093" w:rsidR="00524B6B" w:rsidRPr="00E60410" w:rsidRDefault="00BD3B1B">
      <w:pPr>
        <w:rPr>
          <w:lang w:val="en-GB"/>
        </w:rPr>
      </w:pPr>
      <w:r w:rsidRPr="00E60410">
        <w:rPr>
          <w:lang w:val="en-GB"/>
        </w:rPr>
        <w:t xml:space="preserve">Investor pressure and sustainability-oriented customer expectations are two factors that are driving private sector change. </w:t>
      </w:r>
      <w:r w:rsidR="00123C60">
        <w:rPr>
          <w:lang w:val="en-GB"/>
        </w:rPr>
        <w:t>As a consequence</w:t>
      </w:r>
      <w:r w:rsidRPr="00E60410">
        <w:rPr>
          <w:lang w:val="en-GB"/>
        </w:rPr>
        <w:t xml:space="preserve">, businesses are responding collectively and through individual strategies tailored to their business models and customer base. </w:t>
      </w:r>
    </w:p>
    <w:p w14:paraId="000000DB" w14:textId="77777777" w:rsidR="00524B6B" w:rsidRPr="00E60410" w:rsidRDefault="00524B6B">
      <w:pPr>
        <w:rPr>
          <w:lang w:val="en-GB"/>
        </w:rPr>
      </w:pPr>
    </w:p>
    <w:p w14:paraId="4D9AFC06" w14:textId="184FA961" w:rsidR="00C00043" w:rsidRDefault="00BD3B1B">
      <w:pPr>
        <w:rPr>
          <w:lang w:val="en-GB"/>
        </w:rPr>
      </w:pPr>
      <w:r w:rsidRPr="00E60410">
        <w:rPr>
          <w:lang w:val="en-GB"/>
        </w:rPr>
        <w:t xml:space="preserve">In many cases, the definition of sustainability goes beyond environmental impact factors to include societal, stakeholder and organizational governance considerations. This leads to a wider set of parameters to monitor each organization’s performance. The novelty and need for industry wide standards </w:t>
      </w:r>
      <w:r w:rsidR="00E60410" w:rsidRPr="00E60410">
        <w:rPr>
          <w:lang w:val="en-GB"/>
        </w:rPr>
        <w:t>mirror</w:t>
      </w:r>
      <w:r w:rsidRPr="00E60410">
        <w:rPr>
          <w:lang w:val="en-GB"/>
        </w:rPr>
        <w:t xml:space="preserve"> </w:t>
      </w:r>
      <w:r w:rsidR="00123C60">
        <w:rPr>
          <w:lang w:val="en-GB"/>
        </w:rPr>
        <w:t xml:space="preserve">practices that are common in </w:t>
      </w:r>
      <w:r w:rsidRPr="00E60410">
        <w:rPr>
          <w:lang w:val="en-GB"/>
        </w:rPr>
        <w:t xml:space="preserve">telecommunications sector around standardization and certification. </w:t>
      </w:r>
      <w:r w:rsidR="00123C60">
        <w:rPr>
          <w:lang w:val="en-GB"/>
        </w:rPr>
        <w:t xml:space="preserve">The need for standards-based governance frameworks </w:t>
      </w:r>
      <w:r w:rsidRPr="00E60410">
        <w:rPr>
          <w:lang w:val="en-GB"/>
        </w:rPr>
        <w:t xml:space="preserve">is reflected in the growing role of institutional </w:t>
      </w:r>
      <w:r w:rsidR="00123C60">
        <w:rPr>
          <w:lang w:val="en-GB"/>
        </w:rPr>
        <w:t xml:space="preserve">alliances </w:t>
      </w:r>
      <w:r w:rsidR="00123C60" w:rsidRPr="00E60410">
        <w:rPr>
          <w:lang w:val="en-GB"/>
        </w:rPr>
        <w:t xml:space="preserve"> </w:t>
      </w:r>
      <w:r w:rsidRPr="00E60410">
        <w:rPr>
          <w:lang w:val="en-GB"/>
        </w:rPr>
        <w:t>and efforts to define measurement, reporting and certification frameworks.</w:t>
      </w:r>
    </w:p>
    <w:p w14:paraId="0C2074DA" w14:textId="77777777" w:rsidR="00C00043" w:rsidRPr="00E60410" w:rsidRDefault="00C00043">
      <w:pPr>
        <w:rPr>
          <w:lang w:val="en-GB"/>
        </w:rPr>
      </w:pPr>
    </w:p>
    <w:tbl>
      <w:tblPr>
        <w:tblStyle w:val="a0"/>
        <w:tblW w:w="9360" w:type="dxa"/>
        <w:tblInd w:w="-15"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12" w:space="0" w:color="808080" w:themeColor="background1" w:themeShade="80"/>
          <w:insideV w:val="single" w:sz="12" w:space="0" w:color="808080" w:themeColor="background1" w:themeShade="80"/>
        </w:tblBorders>
        <w:tblLayout w:type="fixed"/>
        <w:tblLook w:val="0600" w:firstRow="0" w:lastRow="0" w:firstColumn="0" w:lastColumn="0" w:noHBand="1" w:noVBand="1"/>
      </w:tblPr>
      <w:tblGrid>
        <w:gridCol w:w="9360"/>
      </w:tblGrid>
      <w:tr w:rsidR="00524B6B" w:rsidRPr="00E60410" w14:paraId="2E984366" w14:textId="77777777" w:rsidTr="00C00043">
        <w:tc>
          <w:tcPr>
            <w:tcW w:w="9360" w:type="dxa"/>
            <w:shd w:val="clear" w:color="auto" w:fill="F2F2F2" w:themeFill="background1" w:themeFillShade="F2"/>
            <w:tcMar>
              <w:top w:w="100" w:type="dxa"/>
              <w:left w:w="100" w:type="dxa"/>
              <w:bottom w:w="100" w:type="dxa"/>
              <w:right w:w="100" w:type="dxa"/>
            </w:tcMar>
          </w:tcPr>
          <w:p w14:paraId="000000DE" w14:textId="77777777" w:rsidR="00524B6B" w:rsidRPr="00C95FCD" w:rsidRDefault="00BD3B1B" w:rsidP="00967DEF">
            <w:pPr>
              <w:widowControl w:val="0"/>
              <w:spacing w:before="60" w:after="60" w:line="240" w:lineRule="auto"/>
              <w:jc w:val="center"/>
              <w:rPr>
                <w:b/>
                <w:sz w:val="24"/>
                <w:szCs w:val="24"/>
                <w:lang w:val="en-GB"/>
              </w:rPr>
            </w:pPr>
            <w:r w:rsidRPr="00C95FCD">
              <w:rPr>
                <w:b/>
                <w:sz w:val="24"/>
                <w:szCs w:val="24"/>
                <w:lang w:val="en-GB"/>
              </w:rPr>
              <w:t>Institutional Frameworks and Corporate Approaches to Sustainability</w:t>
            </w:r>
          </w:p>
          <w:p w14:paraId="000000DF" w14:textId="77777777" w:rsidR="00524B6B" w:rsidRPr="00290FBA" w:rsidRDefault="00524B6B" w:rsidP="00967DEF">
            <w:pPr>
              <w:widowControl w:val="0"/>
              <w:spacing w:before="60" w:after="60" w:line="240" w:lineRule="auto"/>
              <w:rPr>
                <w:sz w:val="18"/>
                <w:szCs w:val="18"/>
                <w:lang w:val="en-GB"/>
              </w:rPr>
            </w:pPr>
          </w:p>
          <w:p w14:paraId="760EC269" w14:textId="53D0F3C3" w:rsidR="00C00043" w:rsidRDefault="00BD3B1B" w:rsidP="00967DEF">
            <w:pPr>
              <w:spacing w:before="60" w:after="60" w:line="240" w:lineRule="auto"/>
              <w:rPr>
                <w:sz w:val="18"/>
                <w:szCs w:val="18"/>
                <w:lang w:val="en-GB"/>
              </w:rPr>
            </w:pPr>
            <w:r w:rsidRPr="00E60410">
              <w:rPr>
                <w:sz w:val="18"/>
                <w:szCs w:val="18"/>
                <w:lang w:val="en-GB"/>
              </w:rPr>
              <w:t xml:space="preserve">There are several different facets to sustainability, environmental, societal, stakeholder engagement and organizational structure factors. The relative importance of these factors to any given organization depends on emissions, environmental impact, and circular economy practices. For the telecommunications sector, the latter is important in terms of raw-materials efficiency. </w:t>
            </w:r>
          </w:p>
          <w:p w14:paraId="12246E83" w14:textId="77777777" w:rsidR="00967DEF" w:rsidRPr="00E60410" w:rsidRDefault="00967DEF" w:rsidP="00967DEF">
            <w:pPr>
              <w:spacing w:before="60" w:after="60" w:line="240" w:lineRule="auto"/>
              <w:rPr>
                <w:sz w:val="18"/>
                <w:szCs w:val="18"/>
                <w:lang w:val="en-GB"/>
              </w:rPr>
            </w:pPr>
          </w:p>
          <w:p w14:paraId="000000E4" w14:textId="5EC20A94" w:rsidR="00524B6B" w:rsidRPr="00E60410" w:rsidRDefault="00BD3B1B" w:rsidP="00967DEF">
            <w:pPr>
              <w:spacing w:before="60" w:after="60" w:line="240" w:lineRule="auto"/>
              <w:rPr>
                <w:sz w:val="18"/>
                <w:szCs w:val="18"/>
                <w:lang w:val="en-GB"/>
              </w:rPr>
            </w:pPr>
            <w:r w:rsidRPr="00E60410">
              <w:rPr>
                <w:sz w:val="18"/>
                <w:szCs w:val="18"/>
                <w:lang w:val="en-GB"/>
              </w:rPr>
              <w:t xml:space="preserve">Practical frameworks to manage sustainability performance generally involve assessment and reporting tools. </w:t>
            </w:r>
            <w:hyperlink r:id="rId14">
              <w:r w:rsidRPr="00E60410">
                <w:rPr>
                  <w:color w:val="1155CC"/>
                  <w:sz w:val="18"/>
                  <w:szCs w:val="18"/>
                  <w:u w:val="single"/>
                  <w:lang w:val="en-GB"/>
                </w:rPr>
                <w:t>A starting point</w:t>
              </w:r>
            </w:hyperlink>
            <w:r w:rsidRPr="00E60410">
              <w:rPr>
                <w:sz w:val="18"/>
                <w:szCs w:val="18"/>
                <w:lang w:val="en-GB"/>
              </w:rPr>
              <w:t xml:space="preserve"> for a commercial organization is to begin with the </w:t>
            </w:r>
            <w:hyperlink r:id="rId15">
              <w:r w:rsidRPr="00E60410">
                <w:rPr>
                  <w:color w:val="1155CC"/>
                  <w:sz w:val="18"/>
                  <w:szCs w:val="18"/>
                  <w:u w:val="single"/>
                  <w:lang w:val="en-GB"/>
                </w:rPr>
                <w:t>Science Based Targets initiative (SBTi)</w:t>
              </w:r>
            </w:hyperlink>
            <w:r w:rsidRPr="00E60410">
              <w:rPr>
                <w:sz w:val="18"/>
                <w:szCs w:val="18"/>
                <w:lang w:val="en-GB"/>
              </w:rPr>
              <w:t xml:space="preserve">. As time goes by, organizations should plan for more stringent targets, such as those linked to meeting goals related to the </w:t>
            </w:r>
            <w:hyperlink r:id="rId16">
              <w:r w:rsidRPr="00E60410">
                <w:rPr>
                  <w:color w:val="1155CC"/>
                  <w:sz w:val="18"/>
                  <w:szCs w:val="18"/>
                  <w:u w:val="single"/>
                  <w:lang w:val="en-GB"/>
                </w:rPr>
                <w:t>1.5 deg</w:t>
              </w:r>
              <w:r w:rsidR="00C00043">
                <w:rPr>
                  <w:color w:val="1155CC"/>
                  <w:sz w:val="18"/>
                  <w:szCs w:val="18"/>
                  <w:u w:val="single"/>
                  <w:lang w:val="en-GB"/>
                </w:rPr>
                <w:t>.</w:t>
              </w:r>
              <w:r w:rsidRPr="00E60410">
                <w:rPr>
                  <w:color w:val="1155CC"/>
                  <w:sz w:val="18"/>
                  <w:szCs w:val="18"/>
                  <w:u w:val="single"/>
                  <w:lang w:val="en-GB"/>
                </w:rPr>
                <w:t xml:space="preserve"> C Climate target</w:t>
              </w:r>
            </w:hyperlink>
            <w:r w:rsidRPr="00E60410">
              <w:rPr>
                <w:sz w:val="18"/>
                <w:szCs w:val="18"/>
                <w:lang w:val="en-GB"/>
              </w:rPr>
              <w:t>.</w:t>
            </w:r>
            <w:r w:rsidR="00967DEF">
              <w:rPr>
                <w:sz w:val="18"/>
                <w:szCs w:val="18"/>
                <w:lang w:val="en-GB"/>
              </w:rPr>
              <w:t xml:space="preserve"> </w:t>
            </w:r>
            <w:r w:rsidRPr="00E60410">
              <w:rPr>
                <w:sz w:val="18"/>
                <w:szCs w:val="18"/>
                <w:lang w:val="en-GB"/>
              </w:rPr>
              <w:t>There is some early thinking from the Task Force on Financial Disclosures (TCFD) and the EU Taxonomy for Sustainable Investments. These are complex reporting frameworks, at a high level.</w:t>
            </w:r>
          </w:p>
          <w:p w14:paraId="1F80687C" w14:textId="77777777" w:rsidR="00967DEF" w:rsidRDefault="00967DEF" w:rsidP="00967DEF">
            <w:pPr>
              <w:spacing w:before="60" w:after="60" w:line="240" w:lineRule="auto"/>
              <w:rPr>
                <w:sz w:val="18"/>
                <w:szCs w:val="18"/>
                <w:lang w:val="en-GB"/>
              </w:rPr>
            </w:pPr>
          </w:p>
          <w:p w14:paraId="3EB8A8F5" w14:textId="77777777" w:rsidR="00967DEF" w:rsidRDefault="00BD3B1B" w:rsidP="00967DEF">
            <w:pPr>
              <w:spacing w:before="60" w:after="60" w:line="240" w:lineRule="auto"/>
              <w:rPr>
                <w:sz w:val="18"/>
                <w:szCs w:val="18"/>
                <w:lang w:val="en-GB"/>
              </w:rPr>
            </w:pPr>
            <w:r w:rsidRPr="00E60410">
              <w:rPr>
                <w:sz w:val="18"/>
                <w:szCs w:val="18"/>
                <w:lang w:val="en-GB"/>
              </w:rPr>
              <w:t xml:space="preserve">The </w:t>
            </w:r>
            <w:hyperlink r:id="rId17">
              <w:r w:rsidRPr="00E60410">
                <w:rPr>
                  <w:color w:val="1155CC"/>
                  <w:sz w:val="18"/>
                  <w:szCs w:val="18"/>
                  <w:u w:val="single"/>
                  <w:lang w:val="en-GB"/>
                </w:rPr>
                <w:t>Global Reporting Initiative</w:t>
              </w:r>
            </w:hyperlink>
            <w:r w:rsidRPr="00E60410">
              <w:rPr>
                <w:sz w:val="18"/>
                <w:szCs w:val="18"/>
                <w:lang w:val="en-GB"/>
              </w:rPr>
              <w:t xml:space="preserve"> (GRI) is an independent organization with a focus on standardizing the reporting of economic, environmental, and social performance issues. One of the organization’s achievements is the creation of a common language to disclose key performance indicators. This is useful for reporting organizations and for external stakeholders that want to understand and evaluate businesses and governments. </w:t>
            </w:r>
          </w:p>
          <w:p w14:paraId="44333563" w14:textId="77777777" w:rsidR="00967DEF" w:rsidRDefault="00967DEF" w:rsidP="00967DEF">
            <w:pPr>
              <w:spacing w:before="60" w:after="60" w:line="240" w:lineRule="auto"/>
              <w:rPr>
                <w:sz w:val="18"/>
                <w:szCs w:val="18"/>
                <w:lang w:val="en-GB"/>
              </w:rPr>
            </w:pPr>
          </w:p>
          <w:p w14:paraId="000000E6" w14:textId="4D36A3B5" w:rsidR="00524B6B" w:rsidRPr="00E60410" w:rsidRDefault="00BD3B1B" w:rsidP="00967DEF">
            <w:pPr>
              <w:spacing w:before="60" w:after="60" w:line="240" w:lineRule="auto"/>
              <w:rPr>
                <w:sz w:val="18"/>
                <w:szCs w:val="18"/>
                <w:lang w:val="en-GB"/>
              </w:rPr>
            </w:pPr>
            <w:r w:rsidRPr="00E60410">
              <w:rPr>
                <w:sz w:val="18"/>
                <w:szCs w:val="18"/>
                <w:lang w:val="en-GB"/>
              </w:rPr>
              <w:t>Standardization provides a common language to enable reporting and understanding, while</w:t>
            </w:r>
            <w:hyperlink r:id="rId18">
              <w:r w:rsidRPr="00E60410">
                <w:rPr>
                  <w:color w:val="1155CC"/>
                  <w:sz w:val="18"/>
                  <w:szCs w:val="18"/>
                  <w:u w:val="single"/>
                  <w:lang w:val="en-GB"/>
                </w:rPr>
                <w:t xml:space="preserve"> a digital approach that makes it straightforward to report data</w:t>
              </w:r>
            </w:hyperlink>
            <w:r w:rsidRPr="00E60410">
              <w:rPr>
                <w:sz w:val="18"/>
                <w:szCs w:val="18"/>
                <w:lang w:val="en-GB"/>
              </w:rPr>
              <w:t>. This combination of factors is key to promoting the wider adoption of sustainability measures and solutions.</w:t>
            </w:r>
          </w:p>
        </w:tc>
      </w:tr>
    </w:tbl>
    <w:p w14:paraId="000000E7" w14:textId="77777777" w:rsidR="00524B6B" w:rsidRPr="00E60410" w:rsidRDefault="00524B6B">
      <w:pPr>
        <w:rPr>
          <w:lang w:val="en-GB"/>
        </w:rPr>
      </w:pPr>
    </w:p>
    <w:p w14:paraId="000000E8" w14:textId="551CBB10" w:rsidR="00524B6B" w:rsidRPr="00E60410" w:rsidRDefault="00BD3B1B">
      <w:pPr>
        <w:rPr>
          <w:lang w:val="en-GB"/>
        </w:rPr>
      </w:pPr>
      <w:r w:rsidRPr="00E60410">
        <w:rPr>
          <w:lang w:val="en-GB"/>
        </w:rPr>
        <w:t xml:space="preserve">Individual corporations are taking different approaches to embed sustainability in their business operations. An informal poll of members </w:t>
      </w:r>
      <w:r w:rsidR="00123C60">
        <w:rPr>
          <w:lang w:val="en-GB"/>
        </w:rPr>
        <w:t xml:space="preserve">contributing to this White Paper </w:t>
      </w:r>
      <w:r w:rsidRPr="00E60410">
        <w:rPr>
          <w:lang w:val="en-GB"/>
        </w:rPr>
        <w:t>illustrates a range of initiatives:</w:t>
      </w:r>
    </w:p>
    <w:p w14:paraId="000000E9" w14:textId="77777777" w:rsidR="00524B6B" w:rsidRPr="00E60410" w:rsidRDefault="00524B6B">
      <w:pPr>
        <w:rPr>
          <w:lang w:val="en-GB"/>
        </w:rPr>
      </w:pPr>
    </w:p>
    <w:p w14:paraId="000000EA" w14:textId="6D6E5B02" w:rsidR="00524B6B" w:rsidRPr="00E60410" w:rsidRDefault="00BD3B1B">
      <w:pPr>
        <w:numPr>
          <w:ilvl w:val="0"/>
          <w:numId w:val="3"/>
        </w:numPr>
        <w:rPr>
          <w:lang w:val="en-GB"/>
        </w:rPr>
      </w:pPr>
      <w:r w:rsidRPr="00E60410">
        <w:rPr>
          <w:lang w:val="en-GB"/>
        </w:rPr>
        <w:t xml:space="preserve">The French telecoms operator, Orange, has aligned its goals with the Paris Agreement and the recommendations of IPCC to achieve net zero carbon emissions by 2040. This is 10 years earlier than the objectives set by the rest of the sector. To achieve this, Orange aims to reduce its CO2 emissions by 30% from 2015 to 2025, notwithstanding </w:t>
      </w:r>
      <w:r w:rsidRPr="00E60410">
        <w:rPr>
          <w:lang w:val="en-GB"/>
        </w:rPr>
        <w:lastRenderedPageBreak/>
        <w:t>exponential growth in the volume of data transiting its networks. The company also plans to increase the share of renewable energies, targeting 50% of electricity from renewable sources in the Group's energy mix by 2025 while continuing to improve the efficiency of its networks and buildings.</w:t>
      </w:r>
      <w:r w:rsidR="009A0A15">
        <w:rPr>
          <w:lang w:val="en-GB"/>
        </w:rPr>
        <w:br/>
      </w:r>
    </w:p>
    <w:p w14:paraId="000000EB" w14:textId="77777777" w:rsidR="00524B6B" w:rsidRPr="00E60410" w:rsidRDefault="00BD3B1B">
      <w:pPr>
        <w:numPr>
          <w:ilvl w:val="0"/>
          <w:numId w:val="3"/>
        </w:numPr>
        <w:rPr>
          <w:lang w:val="en-GB"/>
        </w:rPr>
      </w:pPr>
      <w:r w:rsidRPr="00E60410">
        <w:rPr>
          <w:lang w:val="en-GB"/>
        </w:rPr>
        <w:t xml:space="preserve">From its base in Germany, Deutsche Telekom has set itself strict climate targets. Climate neutrality for its own emissions is to be achieved by 2025 at the latest, and net zero from production to the customer by 2040 at the latest. These targets build on steps already taken by Deutsche Telekom to make its global network entirely green through the use of electricity from renewable sources. </w:t>
      </w:r>
    </w:p>
    <w:p w14:paraId="000000EC" w14:textId="77777777" w:rsidR="00524B6B" w:rsidRPr="00E60410" w:rsidRDefault="00524B6B">
      <w:pPr>
        <w:ind w:left="720"/>
        <w:rPr>
          <w:lang w:val="en-GB"/>
        </w:rPr>
      </w:pPr>
    </w:p>
    <w:p w14:paraId="000000ED" w14:textId="42488719" w:rsidR="00524B6B" w:rsidRPr="00E60410" w:rsidRDefault="00BD3B1B">
      <w:pPr>
        <w:numPr>
          <w:ilvl w:val="0"/>
          <w:numId w:val="3"/>
        </w:numPr>
        <w:rPr>
          <w:lang w:val="en-GB"/>
        </w:rPr>
      </w:pPr>
      <w:r w:rsidRPr="00E60410">
        <w:rPr>
          <w:lang w:val="en-GB"/>
        </w:rPr>
        <w:t xml:space="preserve">Beyond corporate commitments to sustainability, another fruitful avenue involves sustainability offerings to customers </w:t>
      </w:r>
      <w:r w:rsidR="00123C60">
        <w:rPr>
          <w:lang w:val="en-GB"/>
        </w:rPr>
        <w:t xml:space="preserve">using </w:t>
      </w:r>
      <w:r w:rsidRPr="00E60410">
        <w:rPr>
          <w:lang w:val="en-GB"/>
        </w:rPr>
        <w:t xml:space="preserve">Information and Communications Technology (ICT) solutions. </w:t>
      </w:r>
    </w:p>
    <w:p w14:paraId="000000EE" w14:textId="0CCEF150" w:rsidR="00524B6B" w:rsidRPr="00E60410" w:rsidRDefault="00123C60">
      <w:pPr>
        <w:numPr>
          <w:ilvl w:val="1"/>
          <w:numId w:val="3"/>
        </w:numPr>
        <w:rPr>
          <w:lang w:val="en-GB"/>
        </w:rPr>
      </w:pPr>
      <w:r>
        <w:rPr>
          <w:lang w:val="en-GB"/>
        </w:rPr>
        <w:t>Tata Consultancy services (</w:t>
      </w:r>
      <w:r w:rsidR="00BD3B1B" w:rsidRPr="00E60410">
        <w:rPr>
          <w:lang w:val="en-GB"/>
        </w:rPr>
        <w:t>TCS</w:t>
      </w:r>
      <w:r>
        <w:rPr>
          <w:lang w:val="en-GB"/>
        </w:rPr>
        <w:t>)</w:t>
      </w:r>
      <w:r w:rsidR="00BD3B1B" w:rsidRPr="00E60410">
        <w:rPr>
          <w:lang w:val="en-GB"/>
        </w:rPr>
        <w:t xml:space="preserve"> offers an Energy and Emissions accounting solution</w:t>
      </w:r>
      <w:r w:rsidR="002F6863">
        <w:rPr>
          <w:lang w:val="en-GB"/>
        </w:rPr>
        <w:t xml:space="preserve"> </w:t>
      </w:r>
      <w:r w:rsidR="00E60127">
        <w:rPr>
          <w:lang w:val="en-GB"/>
        </w:rPr>
        <w:t>with</w:t>
      </w:r>
      <w:r w:rsidR="002F6863">
        <w:rPr>
          <w:lang w:val="en-GB"/>
        </w:rPr>
        <w:t xml:space="preserve"> managed services</w:t>
      </w:r>
      <w:r w:rsidR="00441EA9">
        <w:rPr>
          <w:lang w:val="en-GB"/>
        </w:rPr>
        <w:t xml:space="preserve">, for commercial buildings and </w:t>
      </w:r>
      <w:r w:rsidR="002D0F31">
        <w:rPr>
          <w:lang w:val="en-GB"/>
        </w:rPr>
        <w:t>industries</w:t>
      </w:r>
      <w:r w:rsidR="007335CB">
        <w:rPr>
          <w:lang w:val="en-GB"/>
        </w:rPr>
        <w:t xml:space="preserve">, powered by </w:t>
      </w:r>
      <w:r w:rsidR="004A3DD4">
        <w:rPr>
          <w:lang w:val="en-GB"/>
        </w:rPr>
        <w:t>IoT,</w:t>
      </w:r>
      <w:r w:rsidR="00BD3B1B" w:rsidRPr="00E60410">
        <w:rPr>
          <w:lang w:val="en-GB"/>
        </w:rPr>
        <w:t xml:space="preserve"> to achieve energy efficiency, sustainability reporting, carbon neutral goals by reducing emissions and meet financial and sustainability goals. The solution aligns with two of the UN’s SDGs: SDG 12-Responsible Consumption and Production and SDG 13-Climate Action. </w:t>
      </w:r>
      <w:r w:rsidR="002D0F31">
        <w:rPr>
          <w:lang w:val="en-GB"/>
        </w:rPr>
        <w:t xml:space="preserve">The TCS Energy </w:t>
      </w:r>
      <w:r w:rsidR="001B18BD">
        <w:rPr>
          <w:lang w:val="en-GB"/>
        </w:rPr>
        <w:t xml:space="preserve">solution </w:t>
      </w:r>
      <w:r w:rsidR="001B18BD" w:rsidRPr="00E60410">
        <w:rPr>
          <w:lang w:val="en-GB"/>
        </w:rPr>
        <w:t>connect</w:t>
      </w:r>
      <w:r w:rsidR="001B18BD">
        <w:rPr>
          <w:lang w:val="en-GB"/>
        </w:rPr>
        <w:t>s</w:t>
      </w:r>
      <w:r w:rsidR="00BD3B1B" w:rsidRPr="00E60410">
        <w:rPr>
          <w:lang w:val="en-GB"/>
        </w:rPr>
        <w:t xml:space="preserve"> to a diverse vendor eco-system</w:t>
      </w:r>
      <w:r>
        <w:rPr>
          <w:lang w:val="en-GB"/>
        </w:rPr>
        <w:t>,</w:t>
      </w:r>
      <w:r w:rsidR="00BD3B1B" w:rsidRPr="00E60410">
        <w:rPr>
          <w:lang w:val="en-GB"/>
        </w:rPr>
        <w:t xml:space="preserve"> via multiple connectivity technologies, to link enterprise and operational data sources to AI applications (for predictive analytics) and a reporting dashboard.</w:t>
      </w:r>
    </w:p>
    <w:p w14:paraId="000000EF" w14:textId="77777777" w:rsidR="00524B6B" w:rsidRPr="00E60410" w:rsidRDefault="00524B6B">
      <w:pPr>
        <w:ind w:left="720"/>
        <w:rPr>
          <w:lang w:val="en-GB"/>
        </w:rPr>
      </w:pPr>
    </w:p>
    <w:p w14:paraId="000000F0" w14:textId="7373A2DF" w:rsidR="00524B6B" w:rsidRPr="00E60410" w:rsidRDefault="00BD3B1B">
      <w:pPr>
        <w:numPr>
          <w:ilvl w:val="1"/>
          <w:numId w:val="3"/>
        </w:numPr>
        <w:rPr>
          <w:lang w:val="en-GB"/>
        </w:rPr>
      </w:pPr>
      <w:r w:rsidRPr="00E60410">
        <w:rPr>
          <w:lang w:val="en-GB"/>
        </w:rPr>
        <w:t>IoT technologies can help organizations to reduce their consumption of water and chemicals in agriculture, to optimize traffic and parking in large cities and to reduce energy consumption of heating and cooling systems. Orange uses these drivers to design a range of IoT solutions. One example is a smart home solution that allows household occupants to manage home appliances, even at distance, in order to protect the environment by reducing energy use. Another example involves the community of Saint-Quentin-</w:t>
      </w:r>
      <w:proofErr w:type="spellStart"/>
      <w:r w:rsidRPr="00E60410">
        <w:rPr>
          <w:lang w:val="en-GB"/>
        </w:rPr>
        <w:t>en</w:t>
      </w:r>
      <w:proofErr w:type="spellEnd"/>
      <w:r w:rsidRPr="00E60410">
        <w:rPr>
          <w:lang w:val="en-GB"/>
        </w:rPr>
        <w:t xml:space="preserve">-Yvelines which relies on IoT sensors to manage flood risk via a cloud-based platform that reports data to field-operator devices </w:t>
      </w:r>
      <w:r w:rsidR="00E60410" w:rsidRPr="00E60410">
        <w:rPr>
          <w:lang w:val="en-GB"/>
        </w:rPr>
        <w:t>year-round</w:t>
      </w:r>
      <w:r w:rsidRPr="00E60410">
        <w:rPr>
          <w:lang w:val="en-GB"/>
        </w:rPr>
        <w:t xml:space="preserve">. </w:t>
      </w:r>
    </w:p>
    <w:p w14:paraId="000000F1" w14:textId="77777777" w:rsidR="00524B6B" w:rsidRPr="00E60410" w:rsidRDefault="00524B6B">
      <w:pPr>
        <w:ind w:left="720"/>
        <w:rPr>
          <w:lang w:val="en-GB"/>
        </w:rPr>
      </w:pPr>
    </w:p>
    <w:p w14:paraId="000000F2" w14:textId="77777777" w:rsidR="00524B6B" w:rsidRPr="00E60410" w:rsidRDefault="00BD3B1B">
      <w:pPr>
        <w:numPr>
          <w:ilvl w:val="1"/>
          <w:numId w:val="3"/>
        </w:numPr>
        <w:rPr>
          <w:lang w:val="en-GB"/>
        </w:rPr>
      </w:pPr>
      <w:r w:rsidRPr="00E60410">
        <w:rPr>
          <w:lang w:val="en-GB"/>
        </w:rPr>
        <w:t>For the agricultural and confectionery sector, TCS has designed a Farm-to-Fork solution. This helps farmers to enrol in an on-line system for crop harvest data which enables the tracing of location-specific data about agricultural commodities supplied from different parts of the world. The vision of this GIS-powered application is early detection of food toxicity, specifically addressing SDG3: Good Health and Well-being. It also helps in identifying sustainability risks from the supply chain to better manage fluctuating consumer demand, addressing SDG12: Responsible Consumption and Production. The solution framework has broader applications and can be adapted to provide real-time insights on pandemic, natural disaster, and climate-related risks.</w:t>
      </w:r>
    </w:p>
    <w:p w14:paraId="000000F3" w14:textId="77777777" w:rsidR="00524B6B" w:rsidRPr="00E60410" w:rsidRDefault="00524B6B">
      <w:pPr>
        <w:ind w:left="720"/>
        <w:rPr>
          <w:lang w:val="en-GB"/>
        </w:rPr>
      </w:pPr>
    </w:p>
    <w:p w14:paraId="000000F4" w14:textId="6CD76C5E" w:rsidR="00524B6B" w:rsidRDefault="00BD3B1B">
      <w:pPr>
        <w:numPr>
          <w:ilvl w:val="0"/>
          <w:numId w:val="3"/>
        </w:numPr>
        <w:rPr>
          <w:lang w:val="en-GB"/>
        </w:rPr>
      </w:pPr>
      <w:r w:rsidRPr="00E60410">
        <w:rPr>
          <w:lang w:val="en-GB"/>
        </w:rPr>
        <w:t xml:space="preserve">ADVA, the German optical network equipment provider, began its sustainability journey some 8 years ago. One of several ways it approaches the sustainability challenge is to look at the issue from the perspective of costs and revenues related to climate change. In the case of ADVA’s optical networking business, 80% of the climate impact is connected to the operational phase of equipment deployed by its customers. That represents a huge externality for ADVA. Using currently available data, it is impossible to factor what is happening in its customers’ businesses – that is the network operators – and their customers whose usage patterns drive network traffic. ADVA’s strategy is to invest engineering resources to improve the environmental performance of its future product line. At the same time, it also takes action to deal with the (much smaller) emissions footprint </w:t>
      </w:r>
      <w:r w:rsidR="00123C60">
        <w:rPr>
          <w:lang w:val="en-GB"/>
        </w:rPr>
        <w:t xml:space="preserve">in other areas of its operations, a case in point being its </w:t>
      </w:r>
      <w:r w:rsidRPr="00E60410">
        <w:rPr>
          <w:lang w:val="en-GB"/>
        </w:rPr>
        <w:t xml:space="preserve">vehicle fleet. </w:t>
      </w:r>
      <w:r w:rsidR="00635678">
        <w:rPr>
          <w:lang w:val="en-GB"/>
        </w:rPr>
        <w:br/>
      </w:r>
    </w:p>
    <w:p w14:paraId="223884DD" w14:textId="5D9829CE" w:rsidR="00635678" w:rsidRPr="00DF5BE1" w:rsidRDefault="00635678" w:rsidP="00950C4E">
      <w:pPr>
        <w:numPr>
          <w:ilvl w:val="0"/>
          <w:numId w:val="3"/>
        </w:numPr>
        <w:rPr>
          <w:lang w:val="en-GB"/>
        </w:rPr>
      </w:pPr>
      <w:r w:rsidRPr="00DF5BE1">
        <w:rPr>
          <w:lang w:val="en-GB"/>
        </w:rPr>
        <w:t xml:space="preserve">The </w:t>
      </w:r>
      <w:hyperlink r:id="rId19" w:history="1">
        <w:r w:rsidRPr="00DF5BE1">
          <w:rPr>
            <w:rStyle w:val="Hyperlink"/>
            <w:lang w:val="en-GB"/>
          </w:rPr>
          <w:t>Alliance for Internet of Things Innovation (AIOTI)</w:t>
        </w:r>
      </w:hyperlink>
      <w:r w:rsidRPr="00DF5BE1">
        <w:rPr>
          <w:lang w:val="en-GB"/>
        </w:rPr>
        <w:t xml:space="preserve"> is developing its vision document on how IoT can contribute </w:t>
      </w:r>
      <w:r w:rsidR="00DF5BE1" w:rsidRPr="00DF5BE1">
        <w:rPr>
          <w:lang w:val="en-GB"/>
        </w:rPr>
        <w:t>towards</w:t>
      </w:r>
      <w:r w:rsidRPr="00DF5BE1">
        <w:rPr>
          <w:lang w:val="en-GB"/>
        </w:rPr>
        <w:t xml:space="preserve"> achieving EU Green Deal and UN SDG’s objectives. In particular, this vision document focuses on: (1) identifying the high level Green Deal challenges and objectives imposed by key EU Green Deal and Data policies (2) showing IoT and Edge Computing business driven scenarios and use cases that can support these objectives and challenges and the key EU Green Deal and Data policies and (3) mapping IoT and edge computing activities in vertical industries and (4) providing high level research and standardisation recommendations on addressing these high level Green Deal challenges and objectives. </w:t>
      </w:r>
      <w:r w:rsidR="00DF5BE1" w:rsidRPr="00DF5BE1">
        <w:rPr>
          <w:lang w:val="en-GB"/>
        </w:rPr>
        <w:t xml:space="preserve">With a view to enabling market adoption, the </w:t>
      </w:r>
      <w:r w:rsidRPr="00DF5BE1">
        <w:rPr>
          <w:lang w:val="en-GB"/>
        </w:rPr>
        <w:t>AIOTI</w:t>
      </w:r>
      <w:r w:rsidR="00DF5BE1" w:rsidRPr="00DF5BE1">
        <w:rPr>
          <w:lang w:val="en-GB"/>
        </w:rPr>
        <w:t xml:space="preserve">’s </w:t>
      </w:r>
      <w:r w:rsidRPr="00DF5BE1">
        <w:rPr>
          <w:lang w:val="en-GB"/>
        </w:rPr>
        <w:t xml:space="preserve">approach </w:t>
      </w:r>
      <w:r w:rsidR="00DF5BE1" w:rsidRPr="00DF5BE1">
        <w:rPr>
          <w:lang w:val="en-GB"/>
        </w:rPr>
        <w:t xml:space="preserve">looks </w:t>
      </w:r>
      <w:r w:rsidRPr="00DF5BE1">
        <w:rPr>
          <w:lang w:val="en-GB"/>
        </w:rPr>
        <w:t xml:space="preserve">beyond the Green Deal objectives and </w:t>
      </w:r>
      <w:r w:rsidR="00DF5BE1" w:rsidRPr="00DF5BE1">
        <w:rPr>
          <w:lang w:val="en-GB"/>
        </w:rPr>
        <w:t xml:space="preserve">concentrates </w:t>
      </w:r>
      <w:r w:rsidRPr="00DF5BE1">
        <w:rPr>
          <w:lang w:val="en-GB"/>
        </w:rPr>
        <w:t xml:space="preserve">on 'actions' to meet the </w:t>
      </w:r>
      <w:hyperlink r:id="rId20" w:history="1">
        <w:r w:rsidRPr="00DF5BE1">
          <w:rPr>
            <w:rStyle w:val="Hyperlink"/>
            <w:lang w:val="en-GB"/>
          </w:rPr>
          <w:t>EU Green Deal targets</w:t>
        </w:r>
      </w:hyperlink>
      <w:r w:rsidRPr="00DF5BE1">
        <w:rPr>
          <w:lang w:val="en-GB"/>
        </w:rPr>
        <w:t>.</w:t>
      </w:r>
    </w:p>
    <w:p w14:paraId="000000F6" w14:textId="5619722F" w:rsidR="00524B6B" w:rsidRPr="00E60410" w:rsidRDefault="00BD3B1B" w:rsidP="0075756F">
      <w:pPr>
        <w:pStyle w:val="Heading2"/>
        <w:rPr>
          <w:lang w:val="en-GB"/>
        </w:rPr>
      </w:pPr>
      <w:bookmarkStart w:id="11" w:name="_Toc82352544"/>
      <w:r w:rsidRPr="00E60410">
        <w:rPr>
          <w:lang w:val="en-GB"/>
        </w:rPr>
        <w:t>2.4 Common Themes and Areas for Action</w:t>
      </w:r>
      <w:bookmarkEnd w:id="11"/>
    </w:p>
    <w:p w14:paraId="000000F7" w14:textId="65CA2800" w:rsidR="00524B6B" w:rsidRPr="00E60410" w:rsidRDefault="004D54E2">
      <w:pPr>
        <w:rPr>
          <w:lang w:val="en-GB"/>
        </w:rPr>
      </w:pPr>
      <w:r>
        <w:rPr>
          <w:lang w:val="en-GB"/>
        </w:rPr>
        <w:t xml:space="preserve">With reference to </w:t>
      </w:r>
      <w:r w:rsidR="00BD3B1B" w:rsidRPr="00E60410">
        <w:rPr>
          <w:lang w:val="en-GB"/>
        </w:rPr>
        <w:t xml:space="preserve">the </w:t>
      </w:r>
      <w:r w:rsidR="00E60410">
        <w:rPr>
          <w:lang w:val="en-GB"/>
        </w:rPr>
        <w:t xml:space="preserve">2015 </w:t>
      </w:r>
      <w:r w:rsidR="00BD3B1B" w:rsidRPr="00E60410">
        <w:rPr>
          <w:lang w:val="en-GB"/>
        </w:rPr>
        <w:t xml:space="preserve">Paris Agreement, there appears to be a clear </w:t>
      </w:r>
      <w:r w:rsidR="00123C60">
        <w:rPr>
          <w:lang w:val="en-GB"/>
        </w:rPr>
        <w:t xml:space="preserve">pattern in favour of </w:t>
      </w:r>
      <w:r w:rsidR="00BD3B1B" w:rsidRPr="00E60410">
        <w:rPr>
          <w:lang w:val="en-GB"/>
        </w:rPr>
        <w:t xml:space="preserve">collective and common approaches to address climate sustainability challenges. While this reflects the position of most governments, public awareness of the physical and societal impacts of climate change are </w:t>
      </w:r>
      <w:r w:rsidR="00123C60">
        <w:rPr>
          <w:lang w:val="en-GB"/>
        </w:rPr>
        <w:t xml:space="preserve">fuelling </w:t>
      </w:r>
      <w:r w:rsidR="00BD3B1B" w:rsidRPr="00E60410">
        <w:rPr>
          <w:lang w:val="en-GB"/>
        </w:rPr>
        <w:t xml:space="preserve">pressure for government and business to change. </w:t>
      </w:r>
    </w:p>
    <w:p w14:paraId="000000F8" w14:textId="77777777" w:rsidR="00524B6B" w:rsidRPr="00E60410" w:rsidRDefault="00524B6B">
      <w:pPr>
        <w:rPr>
          <w:lang w:val="en-GB"/>
        </w:rPr>
      </w:pPr>
    </w:p>
    <w:p w14:paraId="000000F9" w14:textId="52FB12CB" w:rsidR="00524B6B" w:rsidRPr="00E60410" w:rsidRDefault="00BD3B1B">
      <w:pPr>
        <w:rPr>
          <w:lang w:val="en-GB"/>
        </w:rPr>
      </w:pPr>
      <w:r w:rsidRPr="00E60410">
        <w:rPr>
          <w:lang w:val="en-GB"/>
        </w:rPr>
        <w:t xml:space="preserve">This dynamic has two effects. One is the recognition that fossil fuel dependency is unsustainable and requires a significant course change to substitute renewable sources of energy while engineering new and scalable approaches to sequester carbon from the environment. </w:t>
      </w:r>
      <w:r w:rsidR="00322FCD">
        <w:rPr>
          <w:lang w:val="en-GB"/>
        </w:rPr>
        <w:t xml:space="preserve">Achieving this </w:t>
      </w:r>
      <w:r w:rsidR="00322FCD" w:rsidRPr="00E60410">
        <w:rPr>
          <w:lang w:val="en-GB"/>
        </w:rPr>
        <w:t xml:space="preserve">entails a shift from investing in </w:t>
      </w:r>
      <w:r w:rsidR="00322FCD">
        <w:rPr>
          <w:lang w:val="en-GB"/>
        </w:rPr>
        <w:t xml:space="preserve">the maintenance </w:t>
      </w:r>
      <w:r w:rsidR="00322FCD" w:rsidRPr="00E60410">
        <w:rPr>
          <w:lang w:val="en-GB"/>
        </w:rPr>
        <w:t xml:space="preserve">existing </w:t>
      </w:r>
      <w:r w:rsidR="00322FCD">
        <w:rPr>
          <w:lang w:val="en-GB"/>
        </w:rPr>
        <w:t xml:space="preserve">processes, </w:t>
      </w:r>
      <w:r w:rsidR="00322FCD" w:rsidRPr="00E60410">
        <w:rPr>
          <w:lang w:val="en-GB"/>
        </w:rPr>
        <w:t>systems, and technologies to one of using new technologies</w:t>
      </w:r>
      <w:r w:rsidRPr="00E60410">
        <w:rPr>
          <w:lang w:val="en-GB"/>
        </w:rPr>
        <w:t xml:space="preserve">. In </w:t>
      </w:r>
      <w:r w:rsidR="00322FCD">
        <w:rPr>
          <w:lang w:val="en-GB"/>
        </w:rPr>
        <w:t>strategy terms</w:t>
      </w:r>
      <w:r w:rsidRPr="00E60410">
        <w:rPr>
          <w:lang w:val="en-GB"/>
        </w:rPr>
        <w:t xml:space="preserve">, organizations need to </w:t>
      </w:r>
      <w:r w:rsidR="00322FCD">
        <w:rPr>
          <w:lang w:val="en-GB"/>
        </w:rPr>
        <w:t xml:space="preserve">reconsider </w:t>
      </w:r>
      <w:r w:rsidRPr="00E60410">
        <w:rPr>
          <w:lang w:val="en-GB"/>
        </w:rPr>
        <w:t xml:space="preserve">their ‘do no harm’ strategies </w:t>
      </w:r>
      <w:r w:rsidR="00322FCD">
        <w:rPr>
          <w:lang w:val="en-GB"/>
        </w:rPr>
        <w:t xml:space="preserve">and actively </w:t>
      </w:r>
      <w:r w:rsidRPr="00E60410">
        <w:rPr>
          <w:lang w:val="en-GB"/>
        </w:rPr>
        <w:t>target</w:t>
      </w:r>
      <w:r w:rsidR="004D54E2">
        <w:rPr>
          <w:lang w:val="en-GB"/>
        </w:rPr>
        <w:t xml:space="preserve"> applications</w:t>
      </w:r>
      <w:r w:rsidRPr="00E60410">
        <w:rPr>
          <w:lang w:val="en-GB"/>
        </w:rPr>
        <w:t xml:space="preserve"> </w:t>
      </w:r>
      <w:hyperlink r:id="rId21">
        <w:r w:rsidRPr="00E60410">
          <w:rPr>
            <w:color w:val="1155CC"/>
            <w:u w:val="single"/>
            <w:lang w:val="en-GB"/>
          </w:rPr>
          <w:t xml:space="preserve">that have a positive </w:t>
        </w:r>
      </w:hyperlink>
      <w:hyperlink r:id="rId22">
        <w:r w:rsidRPr="00E60410">
          <w:rPr>
            <w:color w:val="1155CC"/>
            <w:u w:val="single"/>
            <w:lang w:val="en-GB"/>
          </w:rPr>
          <w:t>impact</w:t>
        </w:r>
      </w:hyperlink>
      <w:r w:rsidRPr="00E60410">
        <w:rPr>
          <w:lang w:val="en-GB"/>
        </w:rPr>
        <w:t>.</w:t>
      </w:r>
    </w:p>
    <w:p w14:paraId="000000FA" w14:textId="77777777" w:rsidR="00524B6B" w:rsidRPr="00E60410" w:rsidRDefault="00524B6B">
      <w:pPr>
        <w:rPr>
          <w:lang w:val="en-GB"/>
        </w:rPr>
      </w:pPr>
    </w:p>
    <w:p w14:paraId="000000FB" w14:textId="6D0089E4" w:rsidR="00524B6B" w:rsidRPr="00E60410" w:rsidRDefault="00BD3B1B">
      <w:pPr>
        <w:rPr>
          <w:lang w:val="en-GB"/>
        </w:rPr>
      </w:pPr>
      <w:r w:rsidRPr="00E60410">
        <w:rPr>
          <w:lang w:val="en-GB"/>
        </w:rPr>
        <w:t xml:space="preserve">The second dynamic involves a broadening of the sustainability agenda to include societal and stakeholder issues alongside environmental ones. Businesses are responding by collaborating to develop new measurement and reporting frameworks based on sector-wide </w:t>
      </w:r>
      <w:r w:rsidRPr="00E60410">
        <w:rPr>
          <w:lang w:val="en-GB"/>
        </w:rPr>
        <w:lastRenderedPageBreak/>
        <w:t xml:space="preserve">agreements or standards. Currently, these focus on data gathered through audits and conventional, financial reporting metrics. In time, the range of measurements is likely to include operational data and more frequent measurement and reporting intervals. This is where </w:t>
      </w:r>
      <w:hyperlink r:id="rId23" w:history="1">
        <w:r w:rsidRPr="00CD11F7">
          <w:rPr>
            <w:rStyle w:val="Hyperlink"/>
            <w:lang w:val="en-GB"/>
          </w:rPr>
          <w:t>‘digital-ready’ reporting standards and IoT technologies</w:t>
        </w:r>
      </w:hyperlink>
      <w:r w:rsidRPr="00E60410">
        <w:rPr>
          <w:lang w:val="en-GB"/>
        </w:rPr>
        <w:t xml:space="preserve"> are expected to grow in importance.</w:t>
      </w:r>
    </w:p>
    <w:p w14:paraId="000000FC" w14:textId="77777777" w:rsidR="00524B6B" w:rsidRPr="00E60410" w:rsidRDefault="00524B6B">
      <w:pPr>
        <w:rPr>
          <w:lang w:val="en-GB"/>
        </w:rPr>
      </w:pPr>
    </w:p>
    <w:p w14:paraId="000000FD" w14:textId="1B40A127" w:rsidR="00524B6B" w:rsidRPr="00E60410" w:rsidRDefault="00BD3B1B">
      <w:pPr>
        <w:rPr>
          <w:lang w:val="en-GB"/>
        </w:rPr>
      </w:pPr>
      <w:r w:rsidRPr="00E60410">
        <w:rPr>
          <w:lang w:val="en-GB"/>
        </w:rPr>
        <w:t xml:space="preserve">ICT solutions and service providers already offer remote monitoring and data management solutions to their customers. </w:t>
      </w:r>
      <w:r w:rsidR="0029498B">
        <w:rPr>
          <w:lang w:val="en-GB"/>
        </w:rPr>
        <w:t>However, t</w:t>
      </w:r>
      <w:r w:rsidRPr="00E60410">
        <w:rPr>
          <w:lang w:val="en-GB"/>
        </w:rPr>
        <w:t>hese concepts need to scale and become more widely adopted.</w:t>
      </w:r>
      <w:r w:rsidR="0029498B">
        <w:rPr>
          <w:lang w:val="en-GB"/>
        </w:rPr>
        <w:t xml:space="preserve"> Once that occurs, many more applications are likely to emerge, triggering new waves of </w:t>
      </w:r>
      <w:r w:rsidR="00322FCD">
        <w:rPr>
          <w:lang w:val="en-GB"/>
        </w:rPr>
        <w:t xml:space="preserve">innovation and </w:t>
      </w:r>
      <w:r w:rsidR="0029498B">
        <w:rPr>
          <w:lang w:val="en-GB"/>
        </w:rPr>
        <w:t>sustainability solutions.</w:t>
      </w:r>
      <w:r w:rsidRPr="00E60410">
        <w:rPr>
          <w:lang w:val="en-GB"/>
        </w:rPr>
        <w:t xml:space="preserve"> </w:t>
      </w:r>
    </w:p>
    <w:p w14:paraId="000000FE" w14:textId="77777777" w:rsidR="00524B6B" w:rsidRPr="00E60410" w:rsidRDefault="00524B6B">
      <w:pPr>
        <w:rPr>
          <w:lang w:val="en-GB"/>
        </w:rPr>
      </w:pPr>
    </w:p>
    <w:p w14:paraId="000000FF" w14:textId="6D5EB0C4" w:rsidR="00524B6B" w:rsidRPr="00E60410" w:rsidRDefault="00BD3B1B">
      <w:pPr>
        <w:rPr>
          <w:lang w:val="en-GB"/>
        </w:rPr>
      </w:pPr>
      <w:r w:rsidRPr="00E60410">
        <w:rPr>
          <w:lang w:val="en-GB"/>
        </w:rPr>
        <w:t xml:space="preserve">ICT solutions are also deployed by organizations to offer services to their customers. An example is the case of a network equipment provider that supplies a mobile network operator which services its business and consumer customers. There will be an onus on the primary providers to develop approaches that allow the life cycle footprint of their equipment to be assessed. This </w:t>
      </w:r>
      <w:r w:rsidR="00322FCD">
        <w:rPr>
          <w:lang w:val="en-GB"/>
        </w:rPr>
        <w:t xml:space="preserve">is a form of “greening by ICT” and will require </w:t>
      </w:r>
      <w:r w:rsidRPr="00E60410">
        <w:rPr>
          <w:lang w:val="en-GB"/>
        </w:rPr>
        <w:t xml:space="preserve">better data gathering </w:t>
      </w:r>
      <w:r w:rsidR="00322FCD">
        <w:rPr>
          <w:lang w:val="en-GB"/>
        </w:rPr>
        <w:t xml:space="preserve">allied to </w:t>
      </w:r>
      <w:r w:rsidRPr="00E60410">
        <w:rPr>
          <w:lang w:val="en-GB"/>
        </w:rPr>
        <w:t xml:space="preserve">collaborative approaches along value chains to apportion </w:t>
      </w:r>
      <w:r w:rsidR="00322FCD">
        <w:rPr>
          <w:lang w:val="en-GB"/>
        </w:rPr>
        <w:t xml:space="preserve">and manage </w:t>
      </w:r>
      <w:r w:rsidRPr="00E60410">
        <w:rPr>
          <w:lang w:val="en-GB"/>
        </w:rPr>
        <w:t>environmental impact factors.</w:t>
      </w:r>
    </w:p>
    <w:p w14:paraId="00000100" w14:textId="77777777" w:rsidR="00524B6B" w:rsidRPr="00E60410" w:rsidRDefault="00524B6B">
      <w:pPr>
        <w:rPr>
          <w:lang w:val="en-GB"/>
        </w:rPr>
      </w:pPr>
    </w:p>
    <w:p w14:paraId="00000104" w14:textId="77777777" w:rsidR="00524B6B" w:rsidRPr="00E60410" w:rsidRDefault="00BD3B1B">
      <w:pPr>
        <w:rPr>
          <w:lang w:val="en-GB"/>
        </w:rPr>
      </w:pPr>
      <w:r w:rsidRPr="00E60410">
        <w:rPr>
          <w:lang w:val="en-GB"/>
        </w:rPr>
        <w:br w:type="page"/>
      </w:r>
    </w:p>
    <w:p w14:paraId="00000105" w14:textId="77777777" w:rsidR="00524B6B" w:rsidRPr="00E60410" w:rsidRDefault="00BD3B1B">
      <w:pPr>
        <w:pStyle w:val="Heading1"/>
        <w:numPr>
          <w:ilvl w:val="0"/>
          <w:numId w:val="5"/>
        </w:numPr>
        <w:rPr>
          <w:lang w:val="en-GB"/>
        </w:rPr>
      </w:pPr>
      <w:bookmarkStart w:id="12" w:name="_Toc82352545"/>
      <w:r w:rsidRPr="00E60410">
        <w:rPr>
          <w:lang w:val="en-GB"/>
        </w:rPr>
        <w:lastRenderedPageBreak/>
        <w:t>The Role of IoT in Sustainability</w:t>
      </w:r>
      <w:bookmarkEnd w:id="12"/>
    </w:p>
    <w:p w14:paraId="1FA0B973" w14:textId="23CE4AC4" w:rsidR="002E028D" w:rsidRDefault="00BD3B1B">
      <w:pPr>
        <w:spacing w:before="240" w:after="240"/>
        <w:rPr>
          <w:lang w:val="en-GB"/>
        </w:rPr>
      </w:pPr>
      <w:r w:rsidRPr="00E60410">
        <w:rPr>
          <w:lang w:val="en-GB"/>
        </w:rPr>
        <w:t>The United Nations’ Environment Program (UNEP)</w:t>
      </w:r>
      <w:hyperlink r:id="rId24">
        <w:r w:rsidRPr="00E60410">
          <w:rPr>
            <w:lang w:val="en-GB"/>
          </w:rPr>
          <w:t xml:space="preserve"> </w:t>
        </w:r>
      </w:hyperlink>
      <w:hyperlink r:id="rId25">
        <w:r w:rsidRPr="00E60410">
          <w:rPr>
            <w:color w:val="1155CC"/>
            <w:u w:val="single"/>
            <w:lang w:val="en-GB"/>
          </w:rPr>
          <w:t>monitors progress on a range of metrics</w:t>
        </w:r>
      </w:hyperlink>
      <w:r w:rsidRPr="00E60410">
        <w:rPr>
          <w:lang w:val="en-GB"/>
        </w:rPr>
        <w:t xml:space="preserve"> associated with each of the</w:t>
      </w:r>
      <w:hyperlink r:id="rId26">
        <w:r w:rsidRPr="00E60410">
          <w:rPr>
            <w:lang w:val="en-GB"/>
          </w:rPr>
          <w:t xml:space="preserve"> </w:t>
        </w:r>
      </w:hyperlink>
      <w:hyperlink r:id="rId27">
        <w:r w:rsidRPr="00E60410">
          <w:rPr>
            <w:color w:val="1155CC"/>
            <w:u w:val="single"/>
            <w:lang w:val="en-GB"/>
          </w:rPr>
          <w:t>UN’s seventeen Sustainable Development Goals</w:t>
        </w:r>
      </w:hyperlink>
      <w:r w:rsidRPr="00E60410">
        <w:rPr>
          <w:lang w:val="en-GB"/>
        </w:rPr>
        <w:t xml:space="preserve"> (SDGs). </w:t>
      </w:r>
      <w:r w:rsidR="00DF6F71">
        <w:rPr>
          <w:lang w:val="en-GB"/>
        </w:rPr>
        <w:t xml:space="preserve">As shown in </w:t>
      </w:r>
      <w:r w:rsidR="00DF6F71">
        <w:rPr>
          <w:lang w:val="en-GB"/>
        </w:rPr>
        <w:fldChar w:fldCharType="begin"/>
      </w:r>
      <w:r w:rsidR="00DF6F71">
        <w:rPr>
          <w:lang w:val="en-GB"/>
        </w:rPr>
        <w:instrText xml:space="preserve"> REF _Ref81227787 \h </w:instrText>
      </w:r>
      <w:r w:rsidR="00DF6F71">
        <w:rPr>
          <w:lang w:val="en-GB"/>
        </w:rPr>
      </w:r>
      <w:r w:rsidR="00DF6F71">
        <w:rPr>
          <w:lang w:val="en-GB"/>
        </w:rPr>
        <w:fldChar w:fldCharType="separate"/>
      </w:r>
      <w:r w:rsidR="00B405D3">
        <w:t xml:space="preserve">Table </w:t>
      </w:r>
      <w:r w:rsidR="00B405D3">
        <w:rPr>
          <w:noProof/>
        </w:rPr>
        <w:t>1</w:t>
      </w:r>
      <w:r w:rsidR="00DF6F71">
        <w:rPr>
          <w:lang w:val="en-GB"/>
        </w:rPr>
        <w:fldChar w:fldCharType="end"/>
      </w:r>
      <w:r w:rsidR="00DF6F71">
        <w:rPr>
          <w:lang w:val="en-GB"/>
        </w:rPr>
        <w:t>, a</w:t>
      </w:r>
      <w:r w:rsidR="00DF6F71" w:rsidRPr="00E60410">
        <w:rPr>
          <w:lang w:val="en-GB"/>
        </w:rPr>
        <w:t xml:space="preserve">lmost half of these can be addressed </w:t>
      </w:r>
      <w:r w:rsidR="00DF6F71">
        <w:rPr>
          <w:lang w:val="en-GB"/>
        </w:rPr>
        <w:t xml:space="preserve">with </w:t>
      </w:r>
      <w:r w:rsidR="00DF6F71" w:rsidRPr="00E60410">
        <w:rPr>
          <w:lang w:val="en-GB"/>
        </w:rPr>
        <w:t xml:space="preserve">IoT </w:t>
      </w:r>
      <w:r w:rsidR="00322FCD">
        <w:rPr>
          <w:lang w:val="en-GB"/>
        </w:rPr>
        <w:t xml:space="preserve">applications, </w:t>
      </w:r>
      <w:r w:rsidR="004763FF" w:rsidRPr="00E60410">
        <w:rPr>
          <w:lang w:val="en-GB"/>
        </w:rPr>
        <w:t>technologies,</w:t>
      </w:r>
      <w:r w:rsidR="00DF6F71" w:rsidRPr="00E60410">
        <w:rPr>
          <w:lang w:val="en-GB"/>
        </w:rPr>
        <w:t xml:space="preserve"> and systems</w:t>
      </w:r>
    </w:p>
    <w:p w14:paraId="047FFEDF" w14:textId="432B8A90" w:rsidR="00DF6F71" w:rsidRDefault="00DF6F71" w:rsidP="00DF6F71">
      <w:pPr>
        <w:pStyle w:val="Caption"/>
        <w:keepNext/>
      </w:pPr>
      <w:bookmarkStart w:id="13" w:name="_Ref81227787"/>
      <w:r>
        <w:t xml:space="preserve">Table </w:t>
      </w:r>
      <w:fldSimple w:instr=" SEQ Table \* ARABIC ">
        <w:r w:rsidR="00B405D3">
          <w:rPr>
            <w:noProof/>
          </w:rPr>
          <w:t>1</w:t>
        </w:r>
      </w:fldSimple>
      <w:bookmarkEnd w:id="13"/>
      <w:r w:rsidR="0029498B">
        <w:t xml:space="preserve"> </w:t>
      </w:r>
      <w:r>
        <w:t>Key UN SDGs that are addressable by IoT applications and systems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9"/>
        <w:gridCol w:w="3168"/>
        <w:gridCol w:w="4423"/>
      </w:tblGrid>
      <w:tr w:rsidR="00967DEF" w14:paraId="4EA9288C" w14:textId="77777777" w:rsidTr="008F2DE0">
        <w:tc>
          <w:tcPr>
            <w:tcW w:w="1519" w:type="dxa"/>
            <w:shd w:val="clear" w:color="auto" w:fill="C00000"/>
          </w:tcPr>
          <w:p w14:paraId="25600D30" w14:textId="6CEAA6F0" w:rsidR="00967DEF" w:rsidRPr="002E028D" w:rsidRDefault="00967DEF" w:rsidP="00DF6F71">
            <w:pPr>
              <w:spacing w:before="60" w:after="60"/>
              <w:rPr>
                <w:b/>
                <w:bCs/>
                <w:sz w:val="24"/>
                <w:szCs w:val="24"/>
                <w:lang w:val="en-GB"/>
              </w:rPr>
            </w:pPr>
            <w:r>
              <w:rPr>
                <w:b/>
                <w:bCs/>
                <w:sz w:val="24"/>
                <w:szCs w:val="24"/>
                <w:lang w:val="en-GB"/>
              </w:rPr>
              <w:t>UN SDG</w:t>
            </w:r>
          </w:p>
        </w:tc>
        <w:tc>
          <w:tcPr>
            <w:tcW w:w="3168" w:type="dxa"/>
            <w:shd w:val="clear" w:color="auto" w:fill="C00000"/>
          </w:tcPr>
          <w:p w14:paraId="7869D1C2" w14:textId="01132EEA" w:rsidR="00967DEF" w:rsidRPr="002E028D" w:rsidRDefault="00967DEF" w:rsidP="00DF6F71">
            <w:pPr>
              <w:spacing w:before="60" w:after="60"/>
              <w:rPr>
                <w:b/>
                <w:bCs/>
                <w:sz w:val="24"/>
                <w:szCs w:val="24"/>
                <w:lang w:val="en-GB"/>
              </w:rPr>
            </w:pPr>
          </w:p>
        </w:tc>
        <w:tc>
          <w:tcPr>
            <w:tcW w:w="4423" w:type="dxa"/>
            <w:shd w:val="clear" w:color="auto" w:fill="C00000"/>
          </w:tcPr>
          <w:p w14:paraId="0EA0ECCD" w14:textId="04D790EA" w:rsidR="00967DEF" w:rsidRPr="002E028D" w:rsidRDefault="00967DEF" w:rsidP="00DF6F71">
            <w:pPr>
              <w:spacing w:before="60" w:after="60"/>
              <w:rPr>
                <w:b/>
                <w:bCs/>
                <w:sz w:val="24"/>
                <w:szCs w:val="24"/>
                <w:lang w:val="en-GB"/>
              </w:rPr>
            </w:pPr>
            <w:r w:rsidRPr="002E028D">
              <w:rPr>
                <w:b/>
                <w:bCs/>
                <w:sz w:val="24"/>
                <w:szCs w:val="24"/>
                <w:lang w:val="en-GB"/>
              </w:rPr>
              <w:t>AIMS</w:t>
            </w:r>
          </w:p>
        </w:tc>
      </w:tr>
      <w:tr w:rsidR="00967DEF" w14:paraId="255F6BA0" w14:textId="77777777" w:rsidTr="008F2DE0">
        <w:tc>
          <w:tcPr>
            <w:tcW w:w="1519" w:type="dxa"/>
          </w:tcPr>
          <w:p w14:paraId="27684D02" w14:textId="09E7700D" w:rsidR="00967DEF" w:rsidRPr="00833CE5" w:rsidRDefault="00967DEF" w:rsidP="00967DEF">
            <w:pPr>
              <w:spacing w:before="60" w:after="60"/>
              <w:ind w:left="1058" w:hanging="990"/>
              <w:rPr>
                <w:sz w:val="20"/>
                <w:szCs w:val="20"/>
                <w:lang w:val="en-GB"/>
              </w:rPr>
            </w:pPr>
            <w:r w:rsidRPr="00833CE5">
              <w:rPr>
                <w:sz w:val="20"/>
                <w:szCs w:val="20"/>
                <w:lang w:val="en-GB"/>
              </w:rPr>
              <w:t>SDG 2</w:t>
            </w:r>
          </w:p>
        </w:tc>
        <w:tc>
          <w:tcPr>
            <w:tcW w:w="3168" w:type="dxa"/>
          </w:tcPr>
          <w:p w14:paraId="32525FFA" w14:textId="37BC283B" w:rsidR="00967DEF" w:rsidRPr="00833CE5" w:rsidRDefault="00967DEF" w:rsidP="00967DEF">
            <w:pPr>
              <w:spacing w:before="60" w:after="60"/>
              <w:rPr>
                <w:sz w:val="20"/>
                <w:szCs w:val="20"/>
                <w:lang w:val="en-GB"/>
              </w:rPr>
            </w:pPr>
            <w:r w:rsidRPr="00833CE5">
              <w:rPr>
                <w:sz w:val="20"/>
                <w:szCs w:val="20"/>
                <w:lang w:val="en-GB"/>
              </w:rPr>
              <w:t>Zero Hunger</w:t>
            </w:r>
          </w:p>
        </w:tc>
        <w:tc>
          <w:tcPr>
            <w:tcW w:w="4423" w:type="dxa"/>
          </w:tcPr>
          <w:p w14:paraId="1D38C161" w14:textId="225B906B" w:rsidR="00967DEF" w:rsidRPr="00833CE5" w:rsidRDefault="00967DEF" w:rsidP="00DF6F71">
            <w:pPr>
              <w:spacing w:before="60" w:after="60"/>
              <w:rPr>
                <w:sz w:val="20"/>
                <w:szCs w:val="20"/>
                <w:lang w:val="en-GB"/>
              </w:rPr>
            </w:pPr>
            <w:r w:rsidRPr="00833CE5">
              <w:rPr>
                <w:sz w:val="20"/>
                <w:szCs w:val="20"/>
                <w:lang w:val="en-GB"/>
              </w:rPr>
              <w:t>Use of sustainable agricultural practices</w:t>
            </w:r>
          </w:p>
        </w:tc>
      </w:tr>
      <w:tr w:rsidR="008F2DE0" w14:paraId="2934D4A3" w14:textId="77777777" w:rsidTr="008F2DE0">
        <w:tc>
          <w:tcPr>
            <w:tcW w:w="1519" w:type="dxa"/>
            <w:shd w:val="clear" w:color="auto" w:fill="F2F2F2" w:themeFill="background1" w:themeFillShade="F2"/>
          </w:tcPr>
          <w:p w14:paraId="5F7CF8D7" w14:textId="6CA70E72" w:rsidR="00967DEF" w:rsidRPr="00833CE5" w:rsidRDefault="00967DEF" w:rsidP="00967DEF">
            <w:pPr>
              <w:spacing w:before="60" w:after="60"/>
              <w:ind w:left="1058" w:hanging="990"/>
              <w:rPr>
                <w:sz w:val="20"/>
                <w:szCs w:val="20"/>
                <w:lang w:val="en-GB"/>
              </w:rPr>
            </w:pPr>
            <w:r w:rsidRPr="00833CE5">
              <w:rPr>
                <w:sz w:val="20"/>
                <w:szCs w:val="20"/>
                <w:lang w:val="en-GB"/>
              </w:rPr>
              <w:t>SDG 3</w:t>
            </w:r>
          </w:p>
        </w:tc>
        <w:tc>
          <w:tcPr>
            <w:tcW w:w="3168" w:type="dxa"/>
            <w:shd w:val="clear" w:color="auto" w:fill="F2F2F2" w:themeFill="background1" w:themeFillShade="F2"/>
          </w:tcPr>
          <w:p w14:paraId="58B0943E" w14:textId="57D684B8" w:rsidR="00967DEF" w:rsidRPr="00833CE5" w:rsidRDefault="00967DEF" w:rsidP="00967DEF">
            <w:pPr>
              <w:spacing w:before="60" w:after="60"/>
              <w:rPr>
                <w:sz w:val="20"/>
                <w:szCs w:val="20"/>
                <w:lang w:val="en-GB"/>
              </w:rPr>
            </w:pPr>
            <w:r w:rsidRPr="00833CE5">
              <w:rPr>
                <w:sz w:val="20"/>
                <w:szCs w:val="20"/>
                <w:lang w:val="en-GB"/>
              </w:rPr>
              <w:t>Good Health &amp; Wellbeing</w:t>
            </w:r>
          </w:p>
        </w:tc>
        <w:tc>
          <w:tcPr>
            <w:tcW w:w="4423" w:type="dxa"/>
            <w:shd w:val="clear" w:color="auto" w:fill="F2F2F2" w:themeFill="background1" w:themeFillShade="F2"/>
          </w:tcPr>
          <w:p w14:paraId="0933F46E" w14:textId="40F626D5" w:rsidR="00967DEF" w:rsidRPr="00833CE5" w:rsidRDefault="00967DEF" w:rsidP="00DF6F71">
            <w:pPr>
              <w:spacing w:before="60" w:after="60"/>
              <w:rPr>
                <w:sz w:val="20"/>
                <w:szCs w:val="20"/>
                <w:lang w:val="en-GB"/>
              </w:rPr>
            </w:pPr>
            <w:r w:rsidRPr="00833CE5">
              <w:rPr>
                <w:sz w:val="20"/>
                <w:szCs w:val="20"/>
                <w:lang w:val="en-GB"/>
              </w:rPr>
              <w:t>Reductions in mortality linked to air and water pollution</w:t>
            </w:r>
          </w:p>
        </w:tc>
      </w:tr>
      <w:tr w:rsidR="00967DEF" w14:paraId="2379E01C" w14:textId="77777777" w:rsidTr="008F2DE0">
        <w:tc>
          <w:tcPr>
            <w:tcW w:w="1519" w:type="dxa"/>
          </w:tcPr>
          <w:p w14:paraId="390FB0E8" w14:textId="26625146" w:rsidR="00967DEF" w:rsidRPr="00833CE5" w:rsidRDefault="00967DEF" w:rsidP="00967DEF">
            <w:pPr>
              <w:spacing w:before="60" w:after="60"/>
              <w:ind w:left="1058" w:hanging="990"/>
              <w:rPr>
                <w:sz w:val="20"/>
                <w:szCs w:val="20"/>
                <w:lang w:val="en-GB"/>
              </w:rPr>
            </w:pPr>
            <w:r w:rsidRPr="00833CE5">
              <w:rPr>
                <w:sz w:val="20"/>
                <w:szCs w:val="20"/>
                <w:lang w:val="en-GB"/>
              </w:rPr>
              <w:t>SDG 6</w:t>
            </w:r>
          </w:p>
        </w:tc>
        <w:tc>
          <w:tcPr>
            <w:tcW w:w="3168" w:type="dxa"/>
          </w:tcPr>
          <w:p w14:paraId="6ACE3F4A" w14:textId="5BAE6BB2" w:rsidR="00967DEF" w:rsidRPr="00833CE5" w:rsidRDefault="00967DEF" w:rsidP="00967DEF">
            <w:pPr>
              <w:spacing w:before="60" w:after="60"/>
              <w:rPr>
                <w:sz w:val="20"/>
                <w:szCs w:val="20"/>
                <w:lang w:val="en-GB"/>
              </w:rPr>
            </w:pPr>
            <w:r w:rsidRPr="00833CE5">
              <w:rPr>
                <w:sz w:val="20"/>
                <w:szCs w:val="20"/>
                <w:lang w:val="en-GB"/>
              </w:rPr>
              <w:t>Clean Water &amp; Sanitation</w:t>
            </w:r>
          </w:p>
        </w:tc>
        <w:tc>
          <w:tcPr>
            <w:tcW w:w="4423" w:type="dxa"/>
          </w:tcPr>
          <w:p w14:paraId="055EDE11" w14:textId="3C219402" w:rsidR="00967DEF" w:rsidRPr="00833CE5" w:rsidRDefault="00967DEF" w:rsidP="00DF6F71">
            <w:pPr>
              <w:spacing w:before="60" w:after="60"/>
              <w:rPr>
                <w:sz w:val="20"/>
                <w:szCs w:val="20"/>
                <w:lang w:val="en-GB"/>
              </w:rPr>
            </w:pPr>
            <w:r w:rsidRPr="00833CE5">
              <w:rPr>
                <w:sz w:val="20"/>
                <w:szCs w:val="20"/>
                <w:lang w:val="en-GB"/>
              </w:rPr>
              <w:t>Improvements in water quality and resource management</w:t>
            </w:r>
          </w:p>
        </w:tc>
      </w:tr>
      <w:tr w:rsidR="008F2DE0" w14:paraId="6B8F00DB" w14:textId="77777777" w:rsidTr="008F2DE0">
        <w:tc>
          <w:tcPr>
            <w:tcW w:w="1519" w:type="dxa"/>
            <w:shd w:val="clear" w:color="auto" w:fill="F2F2F2" w:themeFill="background1" w:themeFillShade="F2"/>
          </w:tcPr>
          <w:p w14:paraId="6F32B618" w14:textId="4C0A7E64" w:rsidR="00967DEF" w:rsidRPr="00833CE5" w:rsidRDefault="00967DEF" w:rsidP="00967DEF">
            <w:pPr>
              <w:spacing w:before="60" w:after="60"/>
              <w:ind w:left="1058" w:hanging="990"/>
              <w:rPr>
                <w:sz w:val="20"/>
                <w:szCs w:val="20"/>
                <w:lang w:val="en-GB"/>
              </w:rPr>
            </w:pPr>
            <w:r w:rsidRPr="00833CE5">
              <w:rPr>
                <w:sz w:val="20"/>
                <w:szCs w:val="20"/>
                <w:lang w:val="en-GB"/>
              </w:rPr>
              <w:t>SDG 7</w:t>
            </w:r>
          </w:p>
        </w:tc>
        <w:tc>
          <w:tcPr>
            <w:tcW w:w="3168" w:type="dxa"/>
            <w:shd w:val="clear" w:color="auto" w:fill="F2F2F2" w:themeFill="background1" w:themeFillShade="F2"/>
          </w:tcPr>
          <w:p w14:paraId="159752EA" w14:textId="4D66783C" w:rsidR="00967DEF" w:rsidRPr="00833CE5" w:rsidRDefault="00967DEF" w:rsidP="00967DEF">
            <w:pPr>
              <w:spacing w:before="60" w:after="60"/>
              <w:rPr>
                <w:sz w:val="20"/>
                <w:szCs w:val="20"/>
                <w:lang w:val="en-GB"/>
              </w:rPr>
            </w:pPr>
            <w:r w:rsidRPr="00833CE5">
              <w:rPr>
                <w:sz w:val="20"/>
                <w:szCs w:val="20"/>
                <w:lang w:val="en-GB"/>
              </w:rPr>
              <w:t>Affordable &amp; Clean Energy</w:t>
            </w:r>
          </w:p>
        </w:tc>
        <w:tc>
          <w:tcPr>
            <w:tcW w:w="4423" w:type="dxa"/>
            <w:shd w:val="clear" w:color="auto" w:fill="F2F2F2" w:themeFill="background1" w:themeFillShade="F2"/>
          </w:tcPr>
          <w:p w14:paraId="69548C15" w14:textId="2E580D6C" w:rsidR="00967DEF" w:rsidRPr="00833CE5" w:rsidRDefault="00967DEF" w:rsidP="00DF6F71">
            <w:pPr>
              <w:spacing w:before="60" w:after="60"/>
              <w:rPr>
                <w:sz w:val="20"/>
                <w:szCs w:val="20"/>
                <w:lang w:val="en-GB"/>
              </w:rPr>
            </w:pPr>
            <w:r w:rsidRPr="00833CE5">
              <w:rPr>
                <w:sz w:val="20"/>
                <w:szCs w:val="20"/>
                <w:lang w:val="en-GB"/>
              </w:rPr>
              <w:t>Focus on energy efficiency</w:t>
            </w:r>
          </w:p>
        </w:tc>
      </w:tr>
      <w:tr w:rsidR="00967DEF" w14:paraId="7D1879FE" w14:textId="77777777" w:rsidTr="008F2DE0">
        <w:tc>
          <w:tcPr>
            <w:tcW w:w="1519" w:type="dxa"/>
          </w:tcPr>
          <w:p w14:paraId="1E51A1A5" w14:textId="3B4F813F" w:rsidR="00967DEF" w:rsidRPr="00833CE5" w:rsidRDefault="00967DEF" w:rsidP="00967DEF">
            <w:pPr>
              <w:spacing w:before="60" w:after="60"/>
              <w:ind w:left="1058" w:hanging="990"/>
              <w:rPr>
                <w:sz w:val="20"/>
                <w:szCs w:val="20"/>
                <w:lang w:val="en-GB"/>
              </w:rPr>
            </w:pPr>
            <w:r w:rsidRPr="00833CE5">
              <w:rPr>
                <w:sz w:val="20"/>
                <w:szCs w:val="20"/>
                <w:lang w:val="en-GB"/>
              </w:rPr>
              <w:t>SDG 9</w:t>
            </w:r>
          </w:p>
        </w:tc>
        <w:tc>
          <w:tcPr>
            <w:tcW w:w="3168" w:type="dxa"/>
          </w:tcPr>
          <w:p w14:paraId="6820BBBB" w14:textId="6F1F7733" w:rsidR="00967DEF" w:rsidRPr="00833CE5" w:rsidRDefault="00967DEF" w:rsidP="00967DEF">
            <w:pPr>
              <w:spacing w:before="60" w:after="60"/>
              <w:rPr>
                <w:sz w:val="20"/>
                <w:szCs w:val="20"/>
                <w:lang w:val="en-GB"/>
              </w:rPr>
            </w:pPr>
            <w:r w:rsidRPr="00833CE5">
              <w:rPr>
                <w:sz w:val="20"/>
                <w:szCs w:val="20"/>
                <w:lang w:val="en-GB"/>
              </w:rPr>
              <w:t>Industry, Innovation &amp; Infrastructure</w:t>
            </w:r>
          </w:p>
        </w:tc>
        <w:tc>
          <w:tcPr>
            <w:tcW w:w="4423" w:type="dxa"/>
          </w:tcPr>
          <w:p w14:paraId="4ACEDD9C" w14:textId="7636A661" w:rsidR="00967DEF" w:rsidRPr="00833CE5" w:rsidRDefault="00967DEF" w:rsidP="00DF6F71">
            <w:pPr>
              <w:spacing w:before="60" w:after="60"/>
              <w:rPr>
                <w:sz w:val="20"/>
                <w:szCs w:val="20"/>
                <w:lang w:val="en-GB"/>
              </w:rPr>
            </w:pPr>
            <w:r w:rsidRPr="00833CE5">
              <w:rPr>
                <w:sz w:val="20"/>
                <w:szCs w:val="20"/>
                <w:lang w:val="en-GB"/>
              </w:rPr>
              <w:t>Reductions in CO2 emissions via circular economy and new production paradigms</w:t>
            </w:r>
          </w:p>
        </w:tc>
      </w:tr>
      <w:tr w:rsidR="008F2DE0" w14:paraId="08CA0E28" w14:textId="77777777" w:rsidTr="008F2DE0">
        <w:tc>
          <w:tcPr>
            <w:tcW w:w="1519" w:type="dxa"/>
            <w:shd w:val="clear" w:color="auto" w:fill="F2F2F2" w:themeFill="background1" w:themeFillShade="F2"/>
          </w:tcPr>
          <w:p w14:paraId="0E0E0758" w14:textId="6213DB7F" w:rsidR="00967DEF" w:rsidRPr="00833CE5" w:rsidRDefault="00967DEF" w:rsidP="00967DEF">
            <w:pPr>
              <w:spacing w:before="60" w:after="60"/>
              <w:ind w:left="1058" w:hanging="990"/>
              <w:rPr>
                <w:sz w:val="20"/>
                <w:szCs w:val="20"/>
                <w:lang w:val="en-GB"/>
              </w:rPr>
            </w:pPr>
            <w:r w:rsidRPr="00833CE5">
              <w:rPr>
                <w:sz w:val="20"/>
                <w:szCs w:val="20"/>
                <w:lang w:val="en-GB"/>
              </w:rPr>
              <w:t>SDG 11</w:t>
            </w:r>
          </w:p>
        </w:tc>
        <w:tc>
          <w:tcPr>
            <w:tcW w:w="3168" w:type="dxa"/>
            <w:shd w:val="clear" w:color="auto" w:fill="F2F2F2" w:themeFill="background1" w:themeFillShade="F2"/>
          </w:tcPr>
          <w:p w14:paraId="16C2ED05" w14:textId="252CE4D4" w:rsidR="00967DEF" w:rsidRPr="00833CE5" w:rsidRDefault="00967DEF" w:rsidP="00967DEF">
            <w:pPr>
              <w:spacing w:before="60" w:after="60"/>
              <w:rPr>
                <w:sz w:val="20"/>
                <w:szCs w:val="20"/>
                <w:lang w:val="en-GB"/>
              </w:rPr>
            </w:pPr>
            <w:r w:rsidRPr="00833CE5">
              <w:rPr>
                <w:sz w:val="20"/>
                <w:szCs w:val="20"/>
                <w:lang w:val="en-GB"/>
              </w:rPr>
              <w:t>Sustainable Cities &amp; Communities</w:t>
            </w:r>
          </w:p>
        </w:tc>
        <w:tc>
          <w:tcPr>
            <w:tcW w:w="4423" w:type="dxa"/>
            <w:shd w:val="clear" w:color="auto" w:fill="F2F2F2" w:themeFill="background1" w:themeFillShade="F2"/>
          </w:tcPr>
          <w:p w14:paraId="4F0B8A6B" w14:textId="5CADD6A5" w:rsidR="00967DEF" w:rsidRPr="00833CE5" w:rsidRDefault="00967DEF" w:rsidP="00DF6F71">
            <w:pPr>
              <w:spacing w:before="60" w:after="60"/>
              <w:rPr>
                <w:sz w:val="20"/>
                <w:szCs w:val="20"/>
                <w:lang w:val="en-GB"/>
              </w:rPr>
            </w:pPr>
            <w:r w:rsidRPr="00833CE5">
              <w:rPr>
                <w:sz w:val="20"/>
                <w:szCs w:val="20"/>
                <w:lang w:val="en-GB"/>
              </w:rPr>
              <w:t>Improvements in public transport and disaster management</w:t>
            </w:r>
          </w:p>
        </w:tc>
      </w:tr>
      <w:tr w:rsidR="00967DEF" w14:paraId="148F0107" w14:textId="77777777" w:rsidTr="008F2DE0">
        <w:tc>
          <w:tcPr>
            <w:tcW w:w="1519" w:type="dxa"/>
          </w:tcPr>
          <w:p w14:paraId="4AD82A1D" w14:textId="5BFEF4C8" w:rsidR="00967DEF" w:rsidRPr="00833CE5" w:rsidRDefault="00967DEF" w:rsidP="00967DEF">
            <w:pPr>
              <w:spacing w:before="60" w:after="60"/>
              <w:ind w:left="1058" w:hanging="990"/>
              <w:rPr>
                <w:sz w:val="20"/>
                <w:szCs w:val="20"/>
                <w:lang w:val="en-GB"/>
              </w:rPr>
            </w:pPr>
            <w:r w:rsidRPr="00833CE5">
              <w:rPr>
                <w:sz w:val="20"/>
                <w:szCs w:val="20"/>
                <w:lang w:val="en-GB"/>
              </w:rPr>
              <w:t>SDG 12</w:t>
            </w:r>
          </w:p>
        </w:tc>
        <w:tc>
          <w:tcPr>
            <w:tcW w:w="3168" w:type="dxa"/>
          </w:tcPr>
          <w:p w14:paraId="382AF5CE" w14:textId="465351E3" w:rsidR="00967DEF" w:rsidRPr="00833CE5" w:rsidRDefault="00967DEF" w:rsidP="00967DEF">
            <w:pPr>
              <w:spacing w:before="60" w:after="60"/>
              <w:rPr>
                <w:sz w:val="20"/>
                <w:szCs w:val="20"/>
                <w:lang w:val="en-GB"/>
              </w:rPr>
            </w:pPr>
            <w:r w:rsidRPr="00833CE5">
              <w:rPr>
                <w:sz w:val="20"/>
                <w:szCs w:val="20"/>
                <w:lang w:val="en-GB"/>
              </w:rPr>
              <w:t>Responsible Consumption &amp; Production</w:t>
            </w:r>
          </w:p>
        </w:tc>
        <w:tc>
          <w:tcPr>
            <w:tcW w:w="4423" w:type="dxa"/>
          </w:tcPr>
          <w:p w14:paraId="6324C463" w14:textId="69801683" w:rsidR="00967DEF" w:rsidRPr="00833CE5" w:rsidRDefault="00967DEF" w:rsidP="00DF6F71">
            <w:pPr>
              <w:spacing w:before="60" w:after="60"/>
              <w:rPr>
                <w:sz w:val="20"/>
                <w:szCs w:val="20"/>
                <w:lang w:val="en-GB"/>
              </w:rPr>
            </w:pPr>
            <w:r w:rsidRPr="00833CE5">
              <w:rPr>
                <w:sz w:val="20"/>
                <w:szCs w:val="20"/>
                <w:lang w:val="en-GB"/>
              </w:rPr>
              <w:t>Manage the environmental footprint of materials and influence over domestic consumption</w:t>
            </w:r>
          </w:p>
        </w:tc>
      </w:tr>
      <w:tr w:rsidR="008F2DE0" w14:paraId="44C3CFF8" w14:textId="77777777" w:rsidTr="008F2DE0">
        <w:tc>
          <w:tcPr>
            <w:tcW w:w="1519" w:type="dxa"/>
            <w:shd w:val="clear" w:color="auto" w:fill="F2F2F2" w:themeFill="background1" w:themeFillShade="F2"/>
          </w:tcPr>
          <w:p w14:paraId="25F5A4A6" w14:textId="57AF49D1" w:rsidR="00967DEF" w:rsidRPr="00833CE5" w:rsidRDefault="00967DEF" w:rsidP="00967DEF">
            <w:pPr>
              <w:spacing w:before="60" w:after="60"/>
              <w:ind w:left="1058" w:hanging="990"/>
              <w:rPr>
                <w:sz w:val="20"/>
                <w:szCs w:val="20"/>
                <w:lang w:val="en-GB"/>
              </w:rPr>
            </w:pPr>
            <w:r w:rsidRPr="00833CE5">
              <w:rPr>
                <w:sz w:val="20"/>
                <w:szCs w:val="20"/>
                <w:lang w:val="en-GB"/>
              </w:rPr>
              <w:t>SDG 17</w:t>
            </w:r>
          </w:p>
        </w:tc>
        <w:tc>
          <w:tcPr>
            <w:tcW w:w="3168" w:type="dxa"/>
            <w:shd w:val="clear" w:color="auto" w:fill="F2F2F2" w:themeFill="background1" w:themeFillShade="F2"/>
          </w:tcPr>
          <w:p w14:paraId="4FFCCDB4" w14:textId="05794623" w:rsidR="00967DEF" w:rsidRPr="00833CE5" w:rsidRDefault="00967DEF" w:rsidP="00967DEF">
            <w:pPr>
              <w:spacing w:before="60" w:after="60"/>
              <w:rPr>
                <w:sz w:val="20"/>
                <w:szCs w:val="20"/>
                <w:lang w:val="en-GB"/>
              </w:rPr>
            </w:pPr>
            <w:r w:rsidRPr="00833CE5">
              <w:rPr>
                <w:sz w:val="20"/>
                <w:szCs w:val="20"/>
                <w:lang w:val="en-GB"/>
              </w:rPr>
              <w:t>Partnerships for the Goals</w:t>
            </w:r>
          </w:p>
        </w:tc>
        <w:tc>
          <w:tcPr>
            <w:tcW w:w="4423" w:type="dxa"/>
            <w:shd w:val="clear" w:color="auto" w:fill="F2F2F2" w:themeFill="background1" w:themeFillShade="F2"/>
          </w:tcPr>
          <w:p w14:paraId="306C45F0" w14:textId="2F843F78" w:rsidR="00967DEF" w:rsidRPr="00833CE5" w:rsidRDefault="00967DEF" w:rsidP="00DF6F71">
            <w:pPr>
              <w:spacing w:before="60" w:after="60"/>
              <w:rPr>
                <w:sz w:val="20"/>
                <w:szCs w:val="20"/>
                <w:lang w:val="en-GB"/>
              </w:rPr>
            </w:pPr>
            <w:r w:rsidRPr="00833CE5">
              <w:rPr>
                <w:sz w:val="20"/>
                <w:szCs w:val="20"/>
                <w:lang w:val="en-GB"/>
              </w:rPr>
              <w:t>Promote the use of environmentally friendly technologies</w:t>
            </w:r>
          </w:p>
        </w:tc>
      </w:tr>
    </w:tbl>
    <w:p w14:paraId="07ABA501" w14:textId="472169CC" w:rsidR="00DF6F71" w:rsidRDefault="00DF6F71" w:rsidP="00DF6F71">
      <w:pPr>
        <w:spacing w:after="240"/>
        <w:ind w:left="360"/>
        <w:rPr>
          <w:lang w:val="en-GB"/>
        </w:rPr>
      </w:pPr>
    </w:p>
    <w:p w14:paraId="4593F7B8" w14:textId="58BB335B" w:rsidR="00DF6F71" w:rsidRDefault="00DF6F71" w:rsidP="00DF6F71">
      <w:pPr>
        <w:rPr>
          <w:lang w:val="en-GB"/>
        </w:rPr>
      </w:pPr>
      <w:r w:rsidRPr="00E60410">
        <w:rPr>
          <w:lang w:val="en-GB"/>
        </w:rPr>
        <w:t xml:space="preserve">While it is possible to customize strategies in each of these categories, </w:t>
      </w:r>
      <w:r w:rsidR="00322FCD">
        <w:rPr>
          <w:lang w:val="en-GB"/>
        </w:rPr>
        <w:t xml:space="preserve">a strategy aiming for re-use and scale </w:t>
      </w:r>
      <w:r w:rsidR="00833CE5">
        <w:rPr>
          <w:lang w:val="en-GB"/>
        </w:rPr>
        <w:t xml:space="preserve">would focus on </w:t>
      </w:r>
      <w:r w:rsidRPr="00E60410">
        <w:rPr>
          <w:lang w:val="en-GB"/>
        </w:rPr>
        <w:t xml:space="preserve">areas of commonality </w:t>
      </w:r>
      <w:r w:rsidR="00833CE5">
        <w:rPr>
          <w:lang w:val="en-GB"/>
        </w:rPr>
        <w:t xml:space="preserve">to maximize the value of common </w:t>
      </w:r>
      <w:r w:rsidRPr="00E60410">
        <w:rPr>
          <w:lang w:val="en-GB"/>
        </w:rPr>
        <w:t xml:space="preserve">IoT capabilities. Four opportunities stand out. </w:t>
      </w:r>
    </w:p>
    <w:p w14:paraId="4BA19B50" w14:textId="77777777" w:rsidR="00DF6F71" w:rsidRPr="00E60410" w:rsidRDefault="00DF6F71" w:rsidP="00DF6F71">
      <w:pPr>
        <w:rPr>
          <w:lang w:val="en-GB"/>
        </w:rPr>
      </w:pPr>
    </w:p>
    <w:p w14:paraId="58931E9E" w14:textId="77777777" w:rsidR="00DF6F71" w:rsidRPr="00833CE5" w:rsidRDefault="00DF6F71" w:rsidP="00833CE5">
      <w:pPr>
        <w:pStyle w:val="ListParagraph"/>
        <w:numPr>
          <w:ilvl w:val="0"/>
          <w:numId w:val="10"/>
        </w:numPr>
        <w:rPr>
          <w:lang w:val="en-GB"/>
        </w:rPr>
      </w:pPr>
      <w:r w:rsidRPr="00833CE5">
        <w:rPr>
          <w:lang w:val="en-GB"/>
        </w:rPr>
        <w:t xml:space="preserve">The first involves the benefits of </w:t>
      </w:r>
      <w:r w:rsidRPr="004763FF">
        <w:rPr>
          <w:b/>
          <w:bCs/>
          <w:lang w:val="en-GB"/>
        </w:rPr>
        <w:t>remote connectivity</w:t>
      </w:r>
      <w:r w:rsidRPr="00833CE5">
        <w:rPr>
          <w:lang w:val="en-GB"/>
        </w:rPr>
        <w:t xml:space="preserve"> that bring widely dispersed machines and sensors into closer operational reach. </w:t>
      </w:r>
    </w:p>
    <w:p w14:paraId="1F0A65E6" w14:textId="77777777" w:rsidR="00DF6F71" w:rsidRPr="00E60410" w:rsidRDefault="00DF6F71" w:rsidP="00833CE5">
      <w:pPr>
        <w:rPr>
          <w:lang w:val="en-GB"/>
        </w:rPr>
      </w:pPr>
    </w:p>
    <w:p w14:paraId="6CF3DB81" w14:textId="77777777" w:rsidR="00DF6F71" w:rsidRPr="00833CE5" w:rsidRDefault="00DF6F71" w:rsidP="00833CE5">
      <w:pPr>
        <w:pStyle w:val="ListParagraph"/>
        <w:numPr>
          <w:ilvl w:val="0"/>
          <w:numId w:val="10"/>
        </w:numPr>
        <w:rPr>
          <w:lang w:val="en-GB"/>
        </w:rPr>
      </w:pPr>
      <w:r w:rsidRPr="00833CE5">
        <w:rPr>
          <w:lang w:val="en-GB"/>
        </w:rPr>
        <w:t xml:space="preserve">The second, which is a consequence of the power of remote connectivity, is the availability and </w:t>
      </w:r>
      <w:r w:rsidRPr="004763FF">
        <w:rPr>
          <w:b/>
          <w:bCs/>
          <w:lang w:val="en-GB"/>
        </w:rPr>
        <w:t>access to IoT data</w:t>
      </w:r>
      <w:r w:rsidRPr="00833CE5">
        <w:rPr>
          <w:lang w:val="en-GB"/>
        </w:rPr>
        <w:t xml:space="preserve"> for the remote monitoring and improved decision making of scarce resources.</w:t>
      </w:r>
    </w:p>
    <w:p w14:paraId="6238D17B" w14:textId="77777777" w:rsidR="00DF6F71" w:rsidRPr="00E60410" w:rsidRDefault="00DF6F71" w:rsidP="00833CE5">
      <w:pPr>
        <w:rPr>
          <w:lang w:val="en-GB"/>
        </w:rPr>
      </w:pPr>
    </w:p>
    <w:p w14:paraId="38C951FF" w14:textId="4768A7DE" w:rsidR="00DF6F71" w:rsidRPr="00833CE5" w:rsidRDefault="00DF6F71" w:rsidP="00833CE5">
      <w:pPr>
        <w:pStyle w:val="ListParagraph"/>
        <w:numPr>
          <w:ilvl w:val="0"/>
          <w:numId w:val="10"/>
        </w:numPr>
        <w:rPr>
          <w:lang w:val="en-GB"/>
        </w:rPr>
      </w:pPr>
      <w:r w:rsidRPr="004763FF">
        <w:rPr>
          <w:lang w:val="en-GB"/>
        </w:rPr>
        <w:t xml:space="preserve">As multiple IoT systems are deployed, a third contribution of IoT is the ability to design </w:t>
      </w:r>
      <w:r w:rsidRPr="004763FF">
        <w:rPr>
          <w:b/>
          <w:bCs/>
          <w:lang w:val="en-GB"/>
        </w:rPr>
        <w:t>cross-silo applications</w:t>
      </w:r>
      <w:r w:rsidRPr="004763FF">
        <w:rPr>
          <w:lang w:val="en-GB"/>
        </w:rPr>
        <w:t>. These can involve the sharing of data from a group of IoT sensors across several users and not just for the us</w:t>
      </w:r>
      <w:r w:rsidRPr="00833CE5">
        <w:rPr>
          <w:lang w:val="en-GB"/>
        </w:rPr>
        <w:t xml:space="preserve">e of the organization that deployed those sensors. This leads to better use of resources if application developers can avoid having to deploy their own sensors or to deploy sensor systems that may only be used infrequently. </w:t>
      </w:r>
    </w:p>
    <w:p w14:paraId="42E5D299" w14:textId="77777777" w:rsidR="00833CE5" w:rsidRDefault="00833CE5" w:rsidP="00833CE5">
      <w:pPr>
        <w:rPr>
          <w:lang w:val="en-GB"/>
        </w:rPr>
      </w:pPr>
    </w:p>
    <w:p w14:paraId="2AFA0487" w14:textId="103AD7DC" w:rsidR="00DF6F71" w:rsidRPr="00833CE5" w:rsidRDefault="00DF6F71" w:rsidP="00833CE5">
      <w:pPr>
        <w:pStyle w:val="ListParagraph"/>
        <w:numPr>
          <w:ilvl w:val="0"/>
          <w:numId w:val="10"/>
        </w:numPr>
        <w:rPr>
          <w:lang w:val="en-GB"/>
        </w:rPr>
      </w:pPr>
      <w:r w:rsidRPr="00833CE5">
        <w:rPr>
          <w:lang w:val="en-GB"/>
        </w:rPr>
        <w:t xml:space="preserve">Finally, new monitoring requirements call for a significant expansion in the number of IoT sensors. These need to be energy friendly, making efficient use of connectivity networks without disrupting other users. This calls for new technologies based on </w:t>
      </w:r>
      <w:r w:rsidRPr="004763FF">
        <w:rPr>
          <w:b/>
          <w:bCs/>
          <w:lang w:val="en-GB"/>
        </w:rPr>
        <w:t>constrained IoT devices</w:t>
      </w:r>
      <w:r w:rsidRPr="00833CE5">
        <w:rPr>
          <w:lang w:val="en-GB"/>
        </w:rPr>
        <w:t xml:space="preserve"> </w:t>
      </w:r>
      <w:r w:rsidR="00833CE5">
        <w:rPr>
          <w:lang w:val="en-GB"/>
        </w:rPr>
        <w:t xml:space="preserve">that leverage </w:t>
      </w:r>
      <w:r w:rsidRPr="00833CE5">
        <w:rPr>
          <w:lang w:val="en-GB"/>
        </w:rPr>
        <w:t xml:space="preserve">intelligent connectivity </w:t>
      </w:r>
      <w:r w:rsidR="00833CE5">
        <w:rPr>
          <w:lang w:val="en-GB"/>
        </w:rPr>
        <w:t xml:space="preserve">capabilities </w:t>
      </w:r>
      <w:r w:rsidRPr="00833CE5">
        <w:rPr>
          <w:lang w:val="en-GB"/>
        </w:rPr>
        <w:t xml:space="preserve">and energy-saving dormancy modes of operation. </w:t>
      </w:r>
    </w:p>
    <w:p w14:paraId="70CBCB56" w14:textId="77777777" w:rsidR="00833CE5" w:rsidRDefault="00833CE5" w:rsidP="00833CE5">
      <w:pPr>
        <w:rPr>
          <w:lang w:val="en-GB"/>
        </w:rPr>
      </w:pPr>
    </w:p>
    <w:p w14:paraId="2606BFDF" w14:textId="77777777" w:rsidR="00DF6F71" w:rsidRDefault="00BD3B1B" w:rsidP="00DF6F71">
      <w:pPr>
        <w:keepNext/>
        <w:jc w:val="center"/>
      </w:pPr>
      <w:r w:rsidRPr="00E60410">
        <w:rPr>
          <w:noProof/>
          <w:lang w:val="en-GB"/>
        </w:rPr>
        <w:drawing>
          <wp:inline distT="114300" distB="114300" distL="114300" distR="114300" wp14:anchorId="5CF137DD" wp14:editId="2CF90F00">
            <wp:extent cx="5495544" cy="2315381"/>
            <wp:effectExtent l="0" t="0" r="0" b="0"/>
            <wp:docPr id="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8"/>
                    <a:srcRect/>
                    <a:stretch>
                      <a:fillRect/>
                    </a:stretch>
                  </pic:blipFill>
                  <pic:spPr>
                    <a:xfrm>
                      <a:off x="0" y="0"/>
                      <a:ext cx="5495544" cy="2315381"/>
                    </a:xfrm>
                    <a:prstGeom prst="rect">
                      <a:avLst/>
                    </a:prstGeom>
                    <a:ln/>
                  </pic:spPr>
                </pic:pic>
              </a:graphicData>
            </a:graphic>
          </wp:inline>
        </w:drawing>
      </w:r>
    </w:p>
    <w:p w14:paraId="0000010F" w14:textId="08B1AA43" w:rsidR="00524B6B" w:rsidRPr="00E60410" w:rsidRDefault="00DF6F71" w:rsidP="00DF6F71">
      <w:pPr>
        <w:pStyle w:val="Caption"/>
        <w:jc w:val="center"/>
        <w:rPr>
          <w:lang w:val="en-GB"/>
        </w:rPr>
      </w:pPr>
      <w:r>
        <w:t xml:space="preserve">Figure </w:t>
      </w:r>
      <w:fldSimple w:instr=" SEQ Figure \* ARABIC ">
        <w:r w:rsidR="00B405D3">
          <w:rPr>
            <w:noProof/>
          </w:rPr>
          <w:t>3</w:t>
        </w:r>
      </w:fldSimple>
      <w:r>
        <w:t xml:space="preserve"> Four Roles for IoT technologies in addressing UN SDGs</w:t>
      </w:r>
    </w:p>
    <w:p w14:paraId="00000110" w14:textId="77777777" w:rsidR="00524B6B" w:rsidRPr="00E60410" w:rsidRDefault="00524B6B">
      <w:pPr>
        <w:rPr>
          <w:lang w:val="en-GB"/>
        </w:rPr>
      </w:pPr>
    </w:p>
    <w:p w14:paraId="00000111" w14:textId="77777777" w:rsidR="00524B6B" w:rsidRPr="00E60410" w:rsidRDefault="00BD3B1B">
      <w:pPr>
        <w:rPr>
          <w:i/>
          <w:color w:val="1155CC"/>
          <w:sz w:val="18"/>
          <w:szCs w:val="18"/>
          <w:u w:val="single"/>
          <w:lang w:val="en-GB"/>
        </w:rPr>
      </w:pPr>
      <w:r w:rsidRPr="00E60410">
        <w:rPr>
          <w:i/>
          <w:color w:val="545054"/>
          <w:sz w:val="18"/>
          <w:szCs w:val="18"/>
          <w:lang w:val="en-GB"/>
        </w:rPr>
        <w:t xml:space="preserve">Source: UN Environment Program report on </w:t>
      </w:r>
      <w:hyperlink r:id="rId29">
        <w:r w:rsidRPr="00E60410">
          <w:rPr>
            <w:i/>
            <w:color w:val="1155CC"/>
            <w:sz w:val="18"/>
            <w:szCs w:val="18"/>
            <w:u w:val="single"/>
            <w:lang w:val="en-GB"/>
          </w:rPr>
          <w:t>Measuring Progress: Towards Achieving the Environmental Dimension of the SDGS (2019)</w:t>
        </w:r>
      </w:hyperlink>
    </w:p>
    <w:p w14:paraId="0000011B" w14:textId="6DB1DA42" w:rsidR="00524B6B" w:rsidRPr="00E60410" w:rsidRDefault="00DF6F71">
      <w:pPr>
        <w:spacing w:before="240" w:after="240"/>
        <w:rPr>
          <w:lang w:val="en-GB"/>
        </w:rPr>
      </w:pPr>
      <w:r>
        <w:rPr>
          <w:lang w:val="en-GB"/>
        </w:rPr>
        <w:t>I</w:t>
      </w:r>
      <w:r w:rsidR="00BD3B1B" w:rsidRPr="00E60410">
        <w:rPr>
          <w:lang w:val="en-GB"/>
        </w:rPr>
        <w:t xml:space="preserve">n 2020, </w:t>
      </w:r>
      <w:bookmarkStart w:id="14" w:name="_Hlk81227018"/>
      <w:r w:rsidR="0029498B">
        <w:fldChar w:fldCharType="begin"/>
      </w:r>
      <w:r w:rsidR="0029498B">
        <w:instrText xml:space="preserve"> HYPERLINK "https://www.telekom.com/en/media/media-information/archive/achieving-climate-targets-via-the-internet-of-things-608460" \h </w:instrText>
      </w:r>
      <w:r w:rsidR="0029498B">
        <w:fldChar w:fldCharType="separate"/>
      </w:r>
      <w:r w:rsidR="00BD3B1B" w:rsidRPr="00E60410">
        <w:rPr>
          <w:color w:val="1155CC"/>
          <w:u w:val="single"/>
          <w:lang w:val="en-GB"/>
        </w:rPr>
        <w:t xml:space="preserve">Deutsche Telekom conducted an online survey with </w:t>
      </w:r>
      <w:r>
        <w:rPr>
          <w:color w:val="1155CC"/>
          <w:u w:val="single"/>
          <w:lang w:val="en-GB"/>
        </w:rPr>
        <w:t xml:space="preserve">its </w:t>
      </w:r>
      <w:r w:rsidR="00BD3B1B" w:rsidRPr="00E60410">
        <w:rPr>
          <w:color w:val="1155CC"/>
          <w:u w:val="single"/>
          <w:lang w:val="en-GB"/>
        </w:rPr>
        <w:t>IoT experts</w:t>
      </w:r>
      <w:r w:rsidR="0029498B">
        <w:rPr>
          <w:color w:val="1155CC"/>
          <w:u w:val="single"/>
          <w:lang w:val="en-GB"/>
        </w:rPr>
        <w:fldChar w:fldCharType="end"/>
      </w:r>
      <w:bookmarkEnd w:id="14"/>
      <w:r w:rsidR="002E028D">
        <w:rPr>
          <w:lang w:val="en-GB"/>
        </w:rPr>
        <w:t xml:space="preserve"> </w:t>
      </w:r>
      <w:r w:rsidR="00BD3B1B" w:rsidRPr="00E60410">
        <w:rPr>
          <w:lang w:val="en-GB"/>
        </w:rPr>
        <w:t xml:space="preserve">on the </w:t>
      </w:r>
      <w:r w:rsidR="004763FF">
        <w:rPr>
          <w:lang w:val="en-GB"/>
        </w:rPr>
        <w:t xml:space="preserve">role of </w:t>
      </w:r>
      <w:r w:rsidR="00BD3B1B" w:rsidRPr="00E60410">
        <w:rPr>
          <w:lang w:val="en-GB"/>
        </w:rPr>
        <w:t>IoT and sustainability</w:t>
      </w:r>
      <w:r w:rsidR="004763FF">
        <w:rPr>
          <w:lang w:val="en-GB"/>
        </w:rPr>
        <w:t xml:space="preserve"> in helping businesses to meet environmental goals within their business and with supply chain partners</w:t>
      </w:r>
      <w:r w:rsidR="00BD3B1B" w:rsidRPr="00E60410">
        <w:rPr>
          <w:lang w:val="en-GB"/>
        </w:rPr>
        <w:t xml:space="preserve">. </w:t>
      </w:r>
      <w:r w:rsidR="004763FF">
        <w:rPr>
          <w:lang w:val="en-GB"/>
        </w:rPr>
        <w:t xml:space="preserve">As </w:t>
      </w:r>
      <w:r w:rsidR="00BD3B1B" w:rsidRPr="00E60410">
        <w:rPr>
          <w:lang w:val="en-GB"/>
        </w:rPr>
        <w:t xml:space="preserve">illustrated </w:t>
      </w:r>
      <w:r>
        <w:rPr>
          <w:lang w:val="en-GB"/>
        </w:rPr>
        <w:fldChar w:fldCharType="begin"/>
      </w:r>
      <w:r>
        <w:rPr>
          <w:lang w:val="en-GB"/>
        </w:rPr>
        <w:instrText xml:space="preserve"> REF _Ref81228011 \h </w:instrText>
      </w:r>
      <w:r>
        <w:rPr>
          <w:lang w:val="en-GB"/>
        </w:rPr>
      </w:r>
      <w:r>
        <w:rPr>
          <w:lang w:val="en-GB"/>
        </w:rPr>
        <w:fldChar w:fldCharType="separate"/>
      </w:r>
      <w:r w:rsidR="00B405D3">
        <w:t xml:space="preserve">Figure </w:t>
      </w:r>
      <w:r w:rsidR="00B405D3">
        <w:rPr>
          <w:noProof/>
        </w:rPr>
        <w:t>4</w:t>
      </w:r>
      <w:r>
        <w:rPr>
          <w:lang w:val="en-GB"/>
        </w:rPr>
        <w:fldChar w:fldCharType="end"/>
      </w:r>
      <w:r w:rsidR="004763FF">
        <w:rPr>
          <w:lang w:val="en-GB"/>
        </w:rPr>
        <w:t>, t</w:t>
      </w:r>
      <w:r w:rsidR="004763FF" w:rsidRPr="00E60410">
        <w:rPr>
          <w:lang w:val="en-GB"/>
        </w:rPr>
        <w:t xml:space="preserve">he </w:t>
      </w:r>
      <w:r w:rsidR="004763FF">
        <w:rPr>
          <w:lang w:val="en-GB"/>
        </w:rPr>
        <w:t xml:space="preserve">survey results </w:t>
      </w:r>
      <w:r w:rsidR="004763FF" w:rsidRPr="00E60410">
        <w:rPr>
          <w:lang w:val="en-GB"/>
        </w:rPr>
        <w:t xml:space="preserve">underline </w:t>
      </w:r>
      <w:r w:rsidR="004763FF">
        <w:rPr>
          <w:lang w:val="en-GB"/>
        </w:rPr>
        <w:t>high expectations for market demand and considerable scope for product and service innovation.</w:t>
      </w:r>
    </w:p>
    <w:p w14:paraId="28AB019F" w14:textId="52790F07" w:rsidR="0075756F" w:rsidRDefault="004763FF" w:rsidP="0075756F">
      <w:pPr>
        <w:keepNext/>
        <w:spacing w:before="240" w:after="240"/>
        <w:jc w:val="center"/>
      </w:pPr>
      <w:r w:rsidRPr="004763FF">
        <w:rPr>
          <w:noProof/>
        </w:rPr>
        <w:drawing>
          <wp:inline distT="0" distB="0" distL="0" distR="0" wp14:anchorId="56A019EB" wp14:editId="0F44BA5B">
            <wp:extent cx="4654296" cy="2487168"/>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54296" cy="2487168"/>
                    </a:xfrm>
                    <a:prstGeom prst="rect">
                      <a:avLst/>
                    </a:prstGeom>
                    <a:noFill/>
                    <a:ln>
                      <a:noFill/>
                    </a:ln>
                  </pic:spPr>
                </pic:pic>
              </a:graphicData>
            </a:graphic>
          </wp:inline>
        </w:drawing>
      </w:r>
    </w:p>
    <w:p w14:paraId="0000011C" w14:textId="0B33EF4B" w:rsidR="00524B6B" w:rsidRPr="00E60410" w:rsidRDefault="0075756F" w:rsidP="0075756F">
      <w:pPr>
        <w:pStyle w:val="Caption"/>
        <w:rPr>
          <w:lang w:val="en-GB"/>
        </w:rPr>
      </w:pPr>
      <w:bookmarkStart w:id="15" w:name="_Ref81228011"/>
      <w:r>
        <w:t xml:space="preserve">Figure </w:t>
      </w:r>
      <w:fldSimple w:instr=" SEQ Figure \* ARABIC ">
        <w:r w:rsidR="00B405D3">
          <w:rPr>
            <w:noProof/>
          </w:rPr>
          <w:t>4</w:t>
        </w:r>
      </w:fldSimple>
      <w:bookmarkEnd w:id="15"/>
      <w:r>
        <w:t xml:space="preserve"> </w:t>
      </w:r>
      <w:r w:rsidRPr="00AC7074">
        <w:t xml:space="preserve">Deutsche Telekom internal experts </w:t>
      </w:r>
      <w:r w:rsidR="00DF6F71">
        <w:t xml:space="preserve">see a significant role for </w:t>
      </w:r>
      <w:r w:rsidRPr="00AC7074">
        <w:t xml:space="preserve">IoT </w:t>
      </w:r>
      <w:r w:rsidR="00DF6F71">
        <w:t xml:space="preserve">in </w:t>
      </w:r>
      <w:r w:rsidRPr="00AC7074">
        <w:t xml:space="preserve">sustainability </w:t>
      </w:r>
      <w:r w:rsidR="00DF6F71">
        <w:t xml:space="preserve">solutions </w:t>
      </w:r>
      <w:r w:rsidRPr="00AC7074">
        <w:t>(2020)</w:t>
      </w:r>
    </w:p>
    <w:p w14:paraId="0000011F" w14:textId="1039BD88" w:rsidR="00524B6B" w:rsidRPr="00E60410" w:rsidRDefault="00BD3B1B">
      <w:pPr>
        <w:pStyle w:val="Heading2"/>
        <w:rPr>
          <w:lang w:val="en-GB"/>
        </w:rPr>
      </w:pPr>
      <w:bookmarkStart w:id="16" w:name="_Toc82352546"/>
      <w:r w:rsidRPr="00E60410">
        <w:rPr>
          <w:lang w:val="en-GB"/>
        </w:rPr>
        <w:lastRenderedPageBreak/>
        <w:t>3.1 Example</w:t>
      </w:r>
      <w:r w:rsidR="00B838E0">
        <w:rPr>
          <w:lang w:val="en-GB"/>
        </w:rPr>
        <w:t xml:space="preserve">s </w:t>
      </w:r>
      <w:r w:rsidRPr="00E60410">
        <w:rPr>
          <w:lang w:val="en-GB"/>
        </w:rPr>
        <w:t>of IoT in Enabling Sustainability</w:t>
      </w:r>
      <w:bookmarkEnd w:id="16"/>
    </w:p>
    <w:p w14:paraId="00000120" w14:textId="77777777" w:rsidR="00524B6B" w:rsidRPr="00E60410" w:rsidRDefault="00BD3B1B">
      <w:pPr>
        <w:rPr>
          <w:lang w:val="en-GB"/>
        </w:rPr>
      </w:pPr>
      <w:r w:rsidRPr="00E60410">
        <w:rPr>
          <w:lang w:val="en-GB"/>
        </w:rPr>
        <w:t xml:space="preserve">IoT applications hold great potential to enable decarbonization which is set to drive a fundamental transition in several industry sectors. Another area where IoT will have a major sustainability impact is in resource and energy efficiency solutions by making processes leaner and helping organizations to raise the performance threshold for resource conservation. There are numerous use cases that underpin this idea. </w:t>
      </w:r>
    </w:p>
    <w:p w14:paraId="00000121" w14:textId="77777777" w:rsidR="00524B6B" w:rsidRPr="00E60410" w:rsidRDefault="00524B6B">
      <w:pPr>
        <w:rPr>
          <w:lang w:val="en-GB"/>
        </w:rPr>
      </w:pPr>
    </w:p>
    <w:p w14:paraId="6F029104" w14:textId="4FC6646A" w:rsidR="00CD11F7" w:rsidRDefault="00BD3B1B">
      <w:pPr>
        <w:rPr>
          <w:lang w:val="en-GB"/>
        </w:rPr>
      </w:pPr>
      <w:r w:rsidRPr="00E60410">
        <w:rPr>
          <w:lang w:val="en-GB"/>
        </w:rPr>
        <w:t xml:space="preserve">An example that demonstrates gains in operational efficiency and resource management involves the Spanish firm </w:t>
      </w:r>
      <w:proofErr w:type="spellStart"/>
      <w:r w:rsidRPr="00E60410">
        <w:rPr>
          <w:lang w:val="en-GB"/>
        </w:rPr>
        <w:t>Hidroconta</w:t>
      </w:r>
      <w:proofErr w:type="spellEnd"/>
      <w:r w:rsidRPr="00E60410">
        <w:rPr>
          <w:lang w:val="en-GB"/>
        </w:rPr>
        <w:t xml:space="preserve"> which manufactures water meters and irrigation systems. These meters are used by facility management companies and agricultural enterprises. </w:t>
      </w:r>
      <w:r w:rsidR="00E60410" w:rsidRPr="00E60410">
        <w:rPr>
          <w:lang w:val="en-GB"/>
        </w:rPr>
        <w:t>Before</w:t>
      </w:r>
      <w:r w:rsidRPr="00E60410">
        <w:rPr>
          <w:lang w:val="en-GB"/>
        </w:rPr>
        <w:t xml:space="preserve"> they were enabled with IoT capabilities, </w:t>
      </w:r>
      <w:proofErr w:type="spellStart"/>
      <w:r w:rsidRPr="00E60410">
        <w:rPr>
          <w:lang w:val="en-GB"/>
        </w:rPr>
        <w:t>Hidroconta</w:t>
      </w:r>
      <w:proofErr w:type="spellEnd"/>
      <w:r w:rsidRPr="00E60410">
        <w:rPr>
          <w:lang w:val="en-GB"/>
        </w:rPr>
        <w:t xml:space="preserve"> employees would take meter readings on-site. The time-consuming process meant that agricultural companies lacked the transparency needed to optimize the water supply to their plantations and to organize it more sustainably. Working with Deutsche Telekom, </w:t>
      </w:r>
      <w:proofErr w:type="spellStart"/>
      <w:r w:rsidRPr="00E60410">
        <w:rPr>
          <w:lang w:val="en-GB"/>
        </w:rPr>
        <w:t>Hidroconta</w:t>
      </w:r>
      <w:proofErr w:type="spellEnd"/>
      <w:r w:rsidRPr="00E60410">
        <w:rPr>
          <w:lang w:val="en-GB"/>
        </w:rPr>
        <w:t xml:space="preserve"> developed IoT-enabled smart meters using </w:t>
      </w:r>
      <w:r w:rsidR="00E60410" w:rsidRPr="00E60410">
        <w:rPr>
          <w:lang w:val="en-GB"/>
        </w:rPr>
        <w:t>Narrow Band</w:t>
      </w:r>
      <w:r w:rsidRPr="00E60410">
        <w:rPr>
          <w:lang w:val="en-GB"/>
        </w:rPr>
        <w:t xml:space="preserve"> IoT (NB-IoT) technology to transfer encrypted, water consumption data at regular intervals to a connected cloud platform. Agricultural enterprises can now access data in the cloud platform at </w:t>
      </w:r>
      <w:r w:rsidR="00367319" w:rsidRPr="00E60410">
        <w:rPr>
          <w:lang w:val="en-GB"/>
        </w:rPr>
        <w:t>anytime</w:t>
      </w:r>
      <w:r w:rsidRPr="00E60410">
        <w:rPr>
          <w:lang w:val="en-GB"/>
        </w:rPr>
        <w:t xml:space="preserve"> from anywhere. They can also specify individual irrigation times remotely and thereby regulate water supply efficiently.</w:t>
      </w:r>
    </w:p>
    <w:p w14:paraId="7BFA26DC" w14:textId="46B1B5F1" w:rsidR="00CD11F7" w:rsidRDefault="00CD11F7">
      <w:pPr>
        <w:rPr>
          <w:lang w:val="en-GB"/>
        </w:rPr>
      </w:pPr>
    </w:p>
    <w:p w14:paraId="7D28437C" w14:textId="77777777" w:rsidR="00CD11F7" w:rsidRDefault="00CD11F7" w:rsidP="00CD11F7">
      <w:pPr>
        <w:rPr>
          <w:lang w:val="en-GB"/>
        </w:rPr>
      </w:pPr>
      <w:r w:rsidRPr="00E60410">
        <w:rPr>
          <w:lang w:val="en-GB"/>
        </w:rPr>
        <w:t>Energy consumption in buildings is one of the top three contributors to GHGs. IoT can play a significant role in embedding sustainability capabilities to create smart buildings. An example of this involves ISS, a global company for technical facility management, catering, cleaning, security, and support with over 480,000 employees. Working with Deutsche Telekom, ISS wanted to provide more transparency around comfort parameters and space utilization in order to conserve resources and reduce costs. Their smart building solution features intelligent sensors to monitor CO2 levels, temperature, humidity, light, noise and building usage. This solution lowers energy consumption, saves resources, lowers costs and increases customer comfort.</w:t>
      </w:r>
    </w:p>
    <w:p w14:paraId="0CB1D852" w14:textId="77777777" w:rsidR="00CD11F7" w:rsidRDefault="00CD11F7" w:rsidP="00CD11F7">
      <w:pPr>
        <w:rPr>
          <w:lang w:val="en-GB"/>
        </w:rPr>
      </w:pPr>
    </w:p>
    <w:p w14:paraId="1DC48766" w14:textId="77777777" w:rsidR="00CD11F7" w:rsidRDefault="00CD11F7" w:rsidP="00CD11F7">
      <w:pPr>
        <w:rPr>
          <w:lang w:val="en-GB"/>
        </w:rPr>
      </w:pPr>
      <w:r w:rsidRPr="00E60410">
        <w:rPr>
          <w:lang w:val="en-GB"/>
        </w:rPr>
        <w:t xml:space="preserve">Orange is contributing to a </w:t>
      </w:r>
      <w:hyperlink r:id="rId31">
        <w:r w:rsidRPr="00E60410">
          <w:rPr>
            <w:color w:val="1155CC"/>
            <w:u w:val="single"/>
            <w:lang w:val="en-GB"/>
          </w:rPr>
          <w:t>European research project</w:t>
        </w:r>
      </w:hyperlink>
      <w:r w:rsidRPr="00E60410">
        <w:rPr>
          <w:lang w:val="en-GB"/>
        </w:rPr>
        <w:t xml:space="preserve">, involving 15 partners including the major sea ports of Bordeaux and Thessaloniki. The objective of the project is to define a scientific and technical solution for measuring the environmental impact of commercial harbours, and to identify solutions to reduce their footprint. The solution has been deployed in 4 harbours: Bordeaux, </w:t>
      </w:r>
      <w:proofErr w:type="spellStart"/>
      <w:r w:rsidRPr="00E60410">
        <w:rPr>
          <w:lang w:val="en-GB"/>
        </w:rPr>
        <w:t>Monfalcone</w:t>
      </w:r>
      <w:proofErr w:type="spellEnd"/>
      <w:r w:rsidRPr="00E60410">
        <w:rPr>
          <w:lang w:val="en-GB"/>
        </w:rPr>
        <w:t xml:space="preserve">, </w:t>
      </w:r>
      <w:proofErr w:type="spellStart"/>
      <w:r w:rsidRPr="00E60410">
        <w:rPr>
          <w:lang w:val="en-GB"/>
        </w:rPr>
        <w:t>Thessalonique</w:t>
      </w:r>
      <w:proofErr w:type="spellEnd"/>
      <w:r w:rsidRPr="00E60410">
        <w:rPr>
          <w:lang w:val="en-GB"/>
        </w:rPr>
        <w:t xml:space="preserve">, Le </w:t>
      </w:r>
      <w:proofErr w:type="spellStart"/>
      <w:r w:rsidRPr="00E60410">
        <w:rPr>
          <w:lang w:val="en-GB"/>
        </w:rPr>
        <w:t>Pirée</w:t>
      </w:r>
      <w:proofErr w:type="spellEnd"/>
      <w:r w:rsidRPr="00E60410">
        <w:rPr>
          <w:lang w:val="en-GB"/>
        </w:rPr>
        <w:t>. Thanks to IoT sensors and pollution indicators, facilities managers can analyse logistics flows and optimize the organization of harbour activities to reduce pollution.</w:t>
      </w:r>
    </w:p>
    <w:p w14:paraId="2A9DA74F" w14:textId="1B3DB452" w:rsidR="00CD11F7" w:rsidRDefault="00CD11F7">
      <w:pPr>
        <w:rPr>
          <w:lang w:val="en-GB"/>
        </w:rPr>
      </w:pPr>
    </w:p>
    <w:p w14:paraId="293B6144" w14:textId="660F3F5F" w:rsidR="00CD11F7" w:rsidRDefault="00CD11F7">
      <w:pPr>
        <w:rPr>
          <w:lang w:val="en-GB"/>
        </w:rPr>
      </w:pPr>
    </w:p>
    <w:p w14:paraId="71FF1F43" w14:textId="635F41ED" w:rsidR="00CD11F7" w:rsidRDefault="00CD11F7">
      <w:pPr>
        <w:rPr>
          <w:lang w:val="en-GB"/>
        </w:rPr>
      </w:pPr>
    </w:p>
    <w:p w14:paraId="58711336" w14:textId="77777777" w:rsidR="00CD11F7" w:rsidRPr="00E60410" w:rsidRDefault="00CD11F7">
      <w:pPr>
        <w:rPr>
          <w:lang w:val="en-GB"/>
        </w:rPr>
      </w:pPr>
    </w:p>
    <w:p w14:paraId="19094CC9" w14:textId="583B8888" w:rsidR="0075756F" w:rsidRDefault="0075756F">
      <w:pPr>
        <w:rPr>
          <w:lang w:val="en-GB"/>
        </w:rPr>
      </w:pPr>
    </w:p>
    <w:p w14:paraId="7EF1A364" w14:textId="77777777" w:rsidR="00CD11F7" w:rsidRPr="00E60410" w:rsidRDefault="00CD11F7">
      <w:pPr>
        <w:rPr>
          <w:lang w:val="en-GB"/>
        </w:rPr>
      </w:pPr>
    </w:p>
    <w:p w14:paraId="00000125" w14:textId="77777777" w:rsidR="00524B6B" w:rsidRPr="00E60410" w:rsidRDefault="00524B6B">
      <w:pPr>
        <w:rPr>
          <w:lang w:val="en-GB"/>
        </w:rPr>
      </w:pPr>
    </w:p>
    <w:tbl>
      <w:tblPr>
        <w:tblStyle w:val="a1"/>
        <w:tblW w:w="927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70"/>
      </w:tblGrid>
      <w:tr w:rsidR="00524B6B" w:rsidRPr="00E60410" w14:paraId="542603E0" w14:textId="77777777" w:rsidTr="004763FF">
        <w:trPr>
          <w:trHeight w:val="7880"/>
        </w:trPr>
        <w:tc>
          <w:tcPr>
            <w:tcW w:w="9270" w:type="dxa"/>
            <w:tcBorders>
              <w:top w:val="single" w:sz="12" w:space="0" w:color="000000"/>
            </w:tcBorders>
            <w:shd w:val="clear" w:color="auto" w:fill="F2F2F2" w:themeFill="background1" w:themeFillShade="F2"/>
            <w:tcMar>
              <w:top w:w="100" w:type="dxa"/>
              <w:left w:w="100" w:type="dxa"/>
              <w:bottom w:w="100" w:type="dxa"/>
              <w:right w:w="100" w:type="dxa"/>
            </w:tcMar>
          </w:tcPr>
          <w:p w14:paraId="00000126" w14:textId="022DFBEE" w:rsidR="00524B6B" w:rsidRPr="00C95FCD" w:rsidRDefault="00BD3B1B" w:rsidP="004763FF">
            <w:pPr>
              <w:widowControl w:val="0"/>
              <w:spacing w:before="60" w:after="60" w:line="240" w:lineRule="auto"/>
              <w:jc w:val="center"/>
              <w:rPr>
                <w:b/>
                <w:iCs/>
                <w:sz w:val="24"/>
                <w:szCs w:val="24"/>
                <w:lang w:val="en-GB"/>
              </w:rPr>
            </w:pPr>
            <w:r w:rsidRPr="00C95FCD">
              <w:rPr>
                <w:iCs/>
                <w:sz w:val="18"/>
                <w:szCs w:val="18"/>
                <w:lang w:val="en-GB"/>
              </w:rPr>
              <w:lastRenderedPageBreak/>
              <w:t xml:space="preserve">         </w:t>
            </w:r>
            <w:r w:rsidR="00C95FCD">
              <w:rPr>
                <w:b/>
                <w:iCs/>
                <w:sz w:val="24"/>
                <w:szCs w:val="24"/>
                <w:lang w:val="en-GB"/>
              </w:rPr>
              <w:t>Outcomes from a D</w:t>
            </w:r>
            <w:r w:rsidRPr="00C95FCD">
              <w:rPr>
                <w:b/>
                <w:iCs/>
                <w:sz w:val="24"/>
                <w:szCs w:val="24"/>
                <w:lang w:val="en-GB"/>
              </w:rPr>
              <w:t xml:space="preserve">ata and Resource Sharing for </w:t>
            </w:r>
            <w:r w:rsidR="00C95FCD">
              <w:rPr>
                <w:b/>
                <w:iCs/>
                <w:sz w:val="24"/>
                <w:szCs w:val="24"/>
                <w:lang w:val="en-GB"/>
              </w:rPr>
              <w:t xml:space="preserve">Pilot Project for </w:t>
            </w:r>
            <w:r w:rsidRPr="00C95FCD">
              <w:rPr>
                <w:b/>
                <w:iCs/>
                <w:sz w:val="24"/>
                <w:szCs w:val="24"/>
                <w:lang w:val="en-GB"/>
              </w:rPr>
              <w:t>Smart Regions</w:t>
            </w:r>
          </w:p>
          <w:p w14:paraId="00000127" w14:textId="77777777" w:rsidR="00524B6B" w:rsidRPr="00E60410" w:rsidRDefault="00524B6B" w:rsidP="004763FF">
            <w:pPr>
              <w:spacing w:before="60" w:after="60" w:line="240" w:lineRule="auto"/>
              <w:rPr>
                <w:lang w:val="en-GB"/>
              </w:rPr>
            </w:pPr>
          </w:p>
          <w:p w14:paraId="00000128" w14:textId="77777777" w:rsidR="00524B6B" w:rsidRPr="00E60410" w:rsidRDefault="00BD3B1B" w:rsidP="004763FF">
            <w:pPr>
              <w:spacing w:before="60" w:after="60" w:line="240" w:lineRule="auto"/>
              <w:rPr>
                <w:sz w:val="18"/>
                <w:szCs w:val="18"/>
                <w:lang w:val="en-GB"/>
              </w:rPr>
            </w:pPr>
            <w:r w:rsidRPr="00E60410">
              <w:rPr>
                <w:sz w:val="18"/>
                <w:szCs w:val="18"/>
                <w:lang w:val="en-GB"/>
              </w:rPr>
              <w:t>Many smart city applications rely on IoT technologies for services that make better use of transport and road-network resources and improve economic efficiency. When combined with an open standards approach, city authorities and transport agencies can share common infrastructure and explore new operating models such as cooperation across boundaries to facilitate commuter journeys and manage traffic at large events.</w:t>
            </w:r>
          </w:p>
          <w:p w14:paraId="00000129" w14:textId="77777777" w:rsidR="00524B6B" w:rsidRPr="00E60410" w:rsidRDefault="00524B6B" w:rsidP="004763FF">
            <w:pPr>
              <w:spacing w:before="60" w:after="60" w:line="240" w:lineRule="auto"/>
              <w:rPr>
                <w:sz w:val="18"/>
                <w:szCs w:val="18"/>
                <w:lang w:val="en-GB"/>
              </w:rPr>
            </w:pPr>
          </w:p>
          <w:p w14:paraId="0000012B" w14:textId="26261CF6" w:rsidR="00524B6B" w:rsidRPr="00E60410" w:rsidRDefault="00CD11F7" w:rsidP="004763FF">
            <w:pPr>
              <w:spacing w:before="60" w:after="60" w:line="240" w:lineRule="auto"/>
              <w:rPr>
                <w:sz w:val="18"/>
                <w:szCs w:val="18"/>
                <w:lang w:val="en-GB"/>
              </w:rPr>
            </w:pPr>
            <w:r w:rsidRPr="00E60410">
              <w:rPr>
                <w:noProof/>
                <w:lang w:val="en-GB"/>
              </w:rPr>
              <w:drawing>
                <wp:anchor distT="114300" distB="114300" distL="114300" distR="114300" simplePos="0" relativeHeight="251658240" behindDoc="1" locked="0" layoutInCell="1" hidden="0" allowOverlap="1" wp14:anchorId="633F86A7" wp14:editId="511F00E8">
                  <wp:simplePos x="0" y="0"/>
                  <wp:positionH relativeFrom="column">
                    <wp:posOffset>3241675</wp:posOffset>
                  </wp:positionH>
                  <wp:positionV relativeFrom="paragraph">
                    <wp:posOffset>740410</wp:posOffset>
                  </wp:positionV>
                  <wp:extent cx="2299970" cy="1149985"/>
                  <wp:effectExtent l="0" t="0" r="5080" b="0"/>
                  <wp:wrapTight wrapText="bothSides">
                    <wp:wrapPolygon edited="0">
                      <wp:start x="0" y="0"/>
                      <wp:lineTo x="0" y="21111"/>
                      <wp:lineTo x="21469" y="21111"/>
                      <wp:lineTo x="21469" y="0"/>
                      <wp:lineTo x="0" y="0"/>
                    </wp:wrapPolygon>
                  </wp:wrapTight>
                  <wp:docPr id="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2"/>
                          <a:srcRect/>
                          <a:stretch>
                            <a:fillRect/>
                          </a:stretch>
                        </pic:blipFill>
                        <pic:spPr>
                          <a:xfrm>
                            <a:off x="0" y="0"/>
                            <a:ext cx="2299970" cy="1149985"/>
                          </a:xfrm>
                          <a:prstGeom prst="rect">
                            <a:avLst/>
                          </a:prstGeom>
                          <a:ln/>
                        </pic:spPr>
                      </pic:pic>
                    </a:graphicData>
                  </a:graphic>
                </wp:anchor>
              </w:drawing>
            </w:r>
            <w:hyperlink r:id="rId33" w:history="1">
              <w:r w:rsidR="00BD3B1B" w:rsidRPr="00B6054F">
                <w:rPr>
                  <w:rStyle w:val="Hyperlink"/>
                  <w:sz w:val="18"/>
                  <w:szCs w:val="18"/>
                  <w:lang w:val="en-GB"/>
                </w:rPr>
                <w:t>oneTRANSPORT</w:t>
              </w:r>
            </w:hyperlink>
            <w:r w:rsidR="00BD3B1B" w:rsidRPr="00E60410">
              <w:rPr>
                <w:sz w:val="18"/>
                <w:szCs w:val="18"/>
                <w:lang w:val="en-GB"/>
              </w:rPr>
              <w:t xml:space="preserve"> is a data marketplace service that was initially </w:t>
            </w:r>
            <w:hyperlink r:id="rId34" w:history="1">
              <w:r w:rsidR="00BD3B1B" w:rsidRPr="00B6054F">
                <w:rPr>
                  <w:rStyle w:val="Hyperlink"/>
                  <w:sz w:val="18"/>
                  <w:szCs w:val="18"/>
                  <w:lang w:val="en-GB"/>
                </w:rPr>
                <w:t>piloted across four counties in the UK</w:t>
              </w:r>
            </w:hyperlink>
            <w:r w:rsidR="00BD3B1B" w:rsidRPr="00E60410">
              <w:rPr>
                <w:sz w:val="18"/>
                <w:szCs w:val="18"/>
                <w:lang w:val="en-GB"/>
              </w:rPr>
              <w:t xml:space="preserve">. It used a standards-based platform to source data from over 200 types of data sources such as road traffic sensors, parking occupancy sensors and number-plate recognition systems. Four counties and the national transport agency shared data, using controllable policies, with specialists in journey-planning data analytics, facilities </w:t>
            </w:r>
            <w:r w:rsidR="00E60410" w:rsidRPr="00E60410">
              <w:rPr>
                <w:sz w:val="18"/>
                <w:szCs w:val="18"/>
                <w:lang w:val="en-GB"/>
              </w:rPr>
              <w:t>managers,</w:t>
            </w:r>
            <w:r w:rsidR="00BD3B1B" w:rsidRPr="00E60410">
              <w:rPr>
                <w:sz w:val="18"/>
                <w:szCs w:val="18"/>
                <w:lang w:val="en-GB"/>
              </w:rPr>
              <w:t xml:space="preserve"> and AI researchers. Some of the operational benefits included:</w:t>
            </w:r>
          </w:p>
          <w:p w14:paraId="0000012C" w14:textId="15107FCF" w:rsidR="00524B6B" w:rsidRPr="00E60410" w:rsidRDefault="00524B6B" w:rsidP="004763FF">
            <w:pPr>
              <w:spacing w:before="60" w:after="60" w:line="240" w:lineRule="auto"/>
              <w:rPr>
                <w:sz w:val="18"/>
                <w:szCs w:val="18"/>
                <w:lang w:val="en-GB"/>
              </w:rPr>
            </w:pPr>
          </w:p>
          <w:p w14:paraId="0000012F" w14:textId="5C38C25B" w:rsidR="00524B6B" w:rsidRDefault="00BD3B1B" w:rsidP="00CD11F7">
            <w:pPr>
              <w:numPr>
                <w:ilvl w:val="0"/>
                <w:numId w:val="4"/>
              </w:numPr>
              <w:spacing w:before="60" w:after="60" w:line="240" w:lineRule="auto"/>
              <w:rPr>
                <w:sz w:val="18"/>
                <w:szCs w:val="18"/>
                <w:lang w:val="en-GB"/>
              </w:rPr>
            </w:pPr>
            <w:r w:rsidRPr="00E60410">
              <w:rPr>
                <w:sz w:val="18"/>
                <w:szCs w:val="18"/>
                <w:lang w:val="en-GB"/>
              </w:rPr>
              <w:t xml:space="preserve">Improvement in road safety and congestion management in Watford town </w:t>
            </w:r>
            <w:r w:rsidR="00E60410" w:rsidRPr="00E60410">
              <w:rPr>
                <w:sz w:val="18"/>
                <w:szCs w:val="18"/>
                <w:lang w:val="en-GB"/>
              </w:rPr>
              <w:t>centre</w:t>
            </w:r>
            <w:r w:rsidRPr="00E60410">
              <w:rPr>
                <w:sz w:val="18"/>
                <w:szCs w:val="18"/>
                <w:lang w:val="en-GB"/>
              </w:rPr>
              <w:t xml:space="preserve"> when 20,000 additional visitors would travel on Premier League match days.</w:t>
            </w:r>
            <w:r w:rsidR="00CD11F7">
              <w:rPr>
                <w:sz w:val="18"/>
                <w:szCs w:val="18"/>
                <w:lang w:val="en-GB"/>
              </w:rPr>
              <w:br/>
            </w:r>
          </w:p>
          <w:p w14:paraId="3C52F3B7" w14:textId="555C97CF" w:rsidR="00CD11F7" w:rsidRDefault="00CD11F7" w:rsidP="00CD11F7">
            <w:pPr>
              <w:numPr>
                <w:ilvl w:val="0"/>
                <w:numId w:val="4"/>
              </w:numPr>
              <w:spacing w:before="60" w:after="60" w:line="240" w:lineRule="auto"/>
              <w:rPr>
                <w:sz w:val="18"/>
                <w:szCs w:val="18"/>
                <w:lang w:val="en-GB"/>
              </w:rPr>
            </w:pPr>
            <w:r w:rsidRPr="00E60410">
              <w:rPr>
                <w:sz w:val="18"/>
                <w:szCs w:val="18"/>
                <w:lang w:val="en-GB"/>
              </w:rPr>
              <w:t>Implementation of a park-and-ride scheme for visitors to the historic university town of Oxford</w:t>
            </w:r>
          </w:p>
          <w:p w14:paraId="00000130" w14:textId="087EF690" w:rsidR="00524B6B" w:rsidRPr="00E60410" w:rsidRDefault="00524B6B" w:rsidP="004763FF">
            <w:pPr>
              <w:spacing w:before="60" w:after="60" w:line="240" w:lineRule="auto"/>
              <w:rPr>
                <w:sz w:val="18"/>
                <w:szCs w:val="18"/>
                <w:lang w:val="en-GB"/>
              </w:rPr>
            </w:pPr>
          </w:p>
          <w:p w14:paraId="00000131" w14:textId="5BDEFAA4" w:rsidR="00524B6B" w:rsidRPr="00E60410" w:rsidRDefault="00CD11F7" w:rsidP="004763FF">
            <w:pPr>
              <w:numPr>
                <w:ilvl w:val="0"/>
                <w:numId w:val="4"/>
              </w:numPr>
              <w:spacing w:before="60" w:after="60" w:line="240" w:lineRule="auto"/>
              <w:rPr>
                <w:sz w:val="18"/>
                <w:szCs w:val="18"/>
                <w:lang w:val="en-GB"/>
              </w:rPr>
            </w:pPr>
            <w:r w:rsidRPr="00E60410">
              <w:rPr>
                <w:noProof/>
                <w:lang w:val="en-GB"/>
              </w:rPr>
              <w:drawing>
                <wp:anchor distT="114300" distB="114300" distL="114300" distR="114300" simplePos="0" relativeHeight="251659264" behindDoc="1" locked="0" layoutInCell="1" hidden="0" allowOverlap="1" wp14:anchorId="66B9C2D3" wp14:editId="4E524379">
                  <wp:simplePos x="0" y="0"/>
                  <wp:positionH relativeFrom="column">
                    <wp:posOffset>336550</wp:posOffset>
                  </wp:positionH>
                  <wp:positionV relativeFrom="paragraph">
                    <wp:posOffset>432435</wp:posOffset>
                  </wp:positionV>
                  <wp:extent cx="1985645" cy="1084580"/>
                  <wp:effectExtent l="0" t="0" r="0" b="1270"/>
                  <wp:wrapSquare wrapText="bothSides"/>
                  <wp:docPr id="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5"/>
                          <a:srcRect/>
                          <a:stretch>
                            <a:fillRect/>
                          </a:stretch>
                        </pic:blipFill>
                        <pic:spPr>
                          <a:xfrm>
                            <a:off x="0" y="0"/>
                            <a:ext cx="1985645" cy="1084580"/>
                          </a:xfrm>
                          <a:prstGeom prst="rect">
                            <a:avLst/>
                          </a:prstGeom>
                          <a:ln/>
                        </pic:spPr>
                      </pic:pic>
                    </a:graphicData>
                  </a:graphic>
                </wp:anchor>
              </w:drawing>
            </w:r>
            <w:r w:rsidR="00BD3B1B" w:rsidRPr="00E60410">
              <w:rPr>
                <w:sz w:val="18"/>
                <w:szCs w:val="18"/>
                <w:lang w:val="en-GB"/>
              </w:rPr>
              <w:t xml:space="preserve">Improved site visibility and management of traffic at the Silverstone </w:t>
            </w:r>
            <w:r w:rsidR="00E60410" w:rsidRPr="00E60410">
              <w:rPr>
                <w:sz w:val="18"/>
                <w:szCs w:val="18"/>
                <w:lang w:val="en-GB"/>
              </w:rPr>
              <w:t>racetrack</w:t>
            </w:r>
            <w:r w:rsidR="00BD3B1B" w:rsidRPr="00E60410">
              <w:rPr>
                <w:sz w:val="18"/>
                <w:szCs w:val="18"/>
                <w:lang w:val="en-GB"/>
              </w:rPr>
              <w:t xml:space="preserve"> during the Formula 1 race weekend. Over this period, over 250,000 visitor trips are made to the event venue. This calls for coordination of temporary road diversions between the private sector and three </w:t>
            </w:r>
            <w:r w:rsidR="00E60410" w:rsidRPr="00E60410">
              <w:rPr>
                <w:sz w:val="18"/>
                <w:szCs w:val="18"/>
                <w:lang w:val="en-GB"/>
              </w:rPr>
              <w:t>neighbouring</w:t>
            </w:r>
            <w:r w:rsidR="00BD3B1B" w:rsidRPr="00E60410">
              <w:rPr>
                <w:sz w:val="18"/>
                <w:szCs w:val="18"/>
                <w:lang w:val="en-GB"/>
              </w:rPr>
              <w:t xml:space="preserve"> county agencies.</w:t>
            </w:r>
          </w:p>
          <w:p w14:paraId="00000132" w14:textId="77777777" w:rsidR="00524B6B" w:rsidRPr="00E60410" w:rsidRDefault="00524B6B" w:rsidP="004763FF">
            <w:pPr>
              <w:spacing w:before="60" w:after="60" w:line="240" w:lineRule="auto"/>
              <w:rPr>
                <w:sz w:val="18"/>
                <w:szCs w:val="18"/>
                <w:lang w:val="en-GB"/>
              </w:rPr>
            </w:pPr>
          </w:p>
          <w:p w14:paraId="00000133" w14:textId="101EB2E3" w:rsidR="00524B6B" w:rsidRPr="00E60410" w:rsidRDefault="00BD3B1B" w:rsidP="004763FF">
            <w:pPr>
              <w:spacing w:before="60" w:after="60" w:line="240" w:lineRule="auto"/>
              <w:rPr>
                <w:b/>
                <w:i/>
                <w:sz w:val="28"/>
                <w:szCs w:val="28"/>
                <w:lang w:val="en-GB"/>
              </w:rPr>
            </w:pPr>
            <w:r w:rsidRPr="00E60410">
              <w:rPr>
                <w:sz w:val="18"/>
                <w:szCs w:val="18"/>
                <w:lang w:val="en-GB"/>
              </w:rPr>
              <w:t>In addition to the benefits of sourcing IoT data and enabling cross-organizational collaboration, this scenario and the three</w:t>
            </w:r>
            <w:r w:rsidR="00E60410">
              <w:rPr>
                <w:sz w:val="18"/>
                <w:szCs w:val="18"/>
                <w:lang w:val="en-GB"/>
              </w:rPr>
              <w:t>,</w:t>
            </w:r>
            <w:r w:rsidRPr="00E60410">
              <w:rPr>
                <w:sz w:val="18"/>
                <w:szCs w:val="18"/>
                <w:lang w:val="en-GB"/>
              </w:rPr>
              <w:t xml:space="preserve"> application use-cases illustrate the benefits of standardization for re-use, </w:t>
            </w:r>
            <w:r w:rsidR="00E60410" w:rsidRPr="00E60410">
              <w:rPr>
                <w:sz w:val="18"/>
                <w:szCs w:val="18"/>
                <w:lang w:val="en-GB"/>
              </w:rPr>
              <w:t>scalability,</w:t>
            </w:r>
            <w:r w:rsidRPr="00E60410">
              <w:rPr>
                <w:sz w:val="18"/>
                <w:szCs w:val="18"/>
                <w:lang w:val="en-GB"/>
              </w:rPr>
              <w:t xml:space="preserve"> and data interoperability. </w:t>
            </w:r>
          </w:p>
        </w:tc>
      </w:tr>
    </w:tbl>
    <w:p w14:paraId="00000134" w14:textId="3C6AB944" w:rsidR="00524B6B" w:rsidRPr="00E60410" w:rsidRDefault="00524B6B">
      <w:pPr>
        <w:rPr>
          <w:lang w:val="en-GB"/>
        </w:rPr>
      </w:pPr>
    </w:p>
    <w:p w14:paraId="00000138" w14:textId="0A1DE20E" w:rsidR="00524B6B" w:rsidRPr="00E60410" w:rsidRDefault="00BD3B1B">
      <w:pPr>
        <w:rPr>
          <w:lang w:val="en-GB"/>
        </w:rPr>
      </w:pPr>
      <w:r w:rsidRPr="00E60410">
        <w:rPr>
          <w:lang w:val="en-GB"/>
        </w:rPr>
        <w:t xml:space="preserve">Circular economy concepts will play an increasingly important role in the coming decades. These will put pressure on linear economy models, based on the take, make, dispose sequence. New strategies will focus on approaches that design for no waste, that use products for as long as possible and which preserve or enhance the value of renewable resources. </w:t>
      </w:r>
      <w:r w:rsidR="00E60410" w:rsidRPr="00E60410">
        <w:rPr>
          <w:lang w:val="en-GB"/>
        </w:rPr>
        <w:t>Such</w:t>
      </w:r>
      <w:r w:rsidRPr="00E60410">
        <w:rPr>
          <w:lang w:val="en-GB"/>
        </w:rPr>
        <w:t xml:space="preserve"> measures will contribute to reductions in energy consumption and increases in the efficiency of resource use, alongside improvements in material efficiency in industry due to innovations. Advanced digital and communication technologies with enhanced connectivity make it possible to optimize operational efficiencies using digital twin technologies on an IoT data platform.</w:t>
      </w:r>
    </w:p>
    <w:p w14:paraId="00000139" w14:textId="77777777" w:rsidR="00524B6B" w:rsidRPr="00E60410" w:rsidRDefault="00BD3B1B">
      <w:pPr>
        <w:spacing w:before="240" w:after="240"/>
        <w:rPr>
          <w:lang w:val="en-GB"/>
        </w:rPr>
      </w:pPr>
      <w:r w:rsidRPr="00E60410">
        <w:rPr>
          <w:lang w:val="en-GB"/>
        </w:rPr>
        <w:br w:type="page"/>
      </w:r>
    </w:p>
    <w:p w14:paraId="0000013B" w14:textId="4B5F3EBB" w:rsidR="00524B6B" w:rsidRPr="0075756F" w:rsidRDefault="00BD3B1B" w:rsidP="00F5572B">
      <w:pPr>
        <w:pStyle w:val="Heading1"/>
        <w:numPr>
          <w:ilvl w:val="0"/>
          <w:numId w:val="5"/>
        </w:numPr>
        <w:rPr>
          <w:lang w:val="en-GB"/>
        </w:rPr>
      </w:pPr>
      <w:bookmarkStart w:id="17" w:name="_Toc82352547"/>
      <w:r w:rsidRPr="0075756F">
        <w:rPr>
          <w:lang w:val="en-GB"/>
        </w:rPr>
        <w:lastRenderedPageBreak/>
        <w:t>Principles for Sustainable Design</w:t>
      </w:r>
      <w:bookmarkEnd w:id="17"/>
    </w:p>
    <w:p w14:paraId="0000013C" w14:textId="02028094" w:rsidR="00524B6B" w:rsidRPr="00E60410" w:rsidRDefault="00BD3B1B">
      <w:pPr>
        <w:rPr>
          <w:lang w:val="en-GB"/>
        </w:rPr>
      </w:pPr>
      <w:r w:rsidRPr="00E60410">
        <w:rPr>
          <w:lang w:val="en-GB"/>
        </w:rPr>
        <w:t>Three factors can have an impact on sustainable IoT systems. The first deals with investment in IoT systems and encourages reuse and sharing by multiple users. It is also an approach that minimizes the risk of ‘orphan</w:t>
      </w:r>
      <w:r w:rsidR="00E60410">
        <w:rPr>
          <w:lang w:val="en-GB"/>
        </w:rPr>
        <w:t>’</w:t>
      </w:r>
      <w:r w:rsidRPr="00E60410">
        <w:rPr>
          <w:lang w:val="en-GB"/>
        </w:rPr>
        <w:t xml:space="preserve"> </w:t>
      </w:r>
      <w:r w:rsidR="00E60410" w:rsidRPr="00E60410">
        <w:rPr>
          <w:lang w:val="en-GB"/>
        </w:rPr>
        <w:t>investments</w:t>
      </w:r>
      <w:r w:rsidRPr="00E60410">
        <w:rPr>
          <w:lang w:val="en-GB"/>
        </w:rPr>
        <w:t>. The second involves the application of principles that promote sustainability by design and where standardization can have a material impact. At the implementation level, the third factor applies to the emerging solutions and technologies that improve sustainability performance. Individually, many of these might have a marginal impact. However, their impact can be considerable when applied together and at scale.</w:t>
      </w:r>
    </w:p>
    <w:p w14:paraId="0000013D" w14:textId="0368549D" w:rsidR="00524B6B" w:rsidRPr="00E60410" w:rsidRDefault="00BD3B1B">
      <w:pPr>
        <w:pStyle w:val="Heading2"/>
        <w:rPr>
          <w:lang w:val="en-GB"/>
        </w:rPr>
      </w:pPr>
      <w:bookmarkStart w:id="18" w:name="_Toc82352548"/>
      <w:r w:rsidRPr="00E60410">
        <w:rPr>
          <w:lang w:val="en-GB"/>
        </w:rPr>
        <w:t xml:space="preserve">4.1. </w:t>
      </w:r>
      <w:r w:rsidR="00827352">
        <w:rPr>
          <w:lang w:val="en-GB"/>
        </w:rPr>
        <w:t>Invest ‘</w:t>
      </w:r>
      <w:r w:rsidRPr="00E60410">
        <w:rPr>
          <w:lang w:val="en-GB"/>
        </w:rPr>
        <w:t>Horizontal</w:t>
      </w:r>
      <w:r w:rsidR="00DF6F71">
        <w:rPr>
          <w:lang w:val="en-GB"/>
        </w:rPr>
        <w:t>ly</w:t>
      </w:r>
      <w:r w:rsidR="00827352">
        <w:rPr>
          <w:lang w:val="en-GB"/>
        </w:rPr>
        <w:t>’</w:t>
      </w:r>
      <w:r w:rsidRPr="00E60410">
        <w:rPr>
          <w:lang w:val="en-GB"/>
        </w:rPr>
        <w:t xml:space="preserve"> to Maximize Reuse and Longevity</w:t>
      </w:r>
      <w:bookmarkEnd w:id="18"/>
    </w:p>
    <w:p w14:paraId="0000013F" w14:textId="70D2ACE3" w:rsidR="00524B6B" w:rsidRPr="00E60410" w:rsidRDefault="00BD3B1B">
      <w:pPr>
        <w:rPr>
          <w:lang w:val="en-GB"/>
        </w:rPr>
      </w:pPr>
      <w:r w:rsidRPr="00E60410">
        <w:rPr>
          <w:lang w:val="en-GB"/>
        </w:rPr>
        <w:t xml:space="preserve">There are several common elements to most IoT systems. These include the functions associated with registering device and application identities, for example. Others include remote device management, communications </w:t>
      </w:r>
      <w:r w:rsidR="00E60410" w:rsidRPr="00E60410">
        <w:rPr>
          <w:lang w:val="en-GB"/>
        </w:rPr>
        <w:t>management,</w:t>
      </w:r>
      <w:r w:rsidRPr="00E60410">
        <w:rPr>
          <w:lang w:val="en-GB"/>
        </w:rPr>
        <w:t xml:space="preserve"> and security. Designers should avoid developing IoT applications in isolation and consider how to reuse or share common service functions. This is generally achieved through the use of IoT platforms that contain frequently used developer tools. This approach ensures that multiple users can share a set of common resources and leverage the economies of scale associated with shared platforms and platform-developer expertise.</w:t>
      </w:r>
    </w:p>
    <w:p w14:paraId="00000140" w14:textId="77777777" w:rsidR="00524B6B" w:rsidRPr="00E60410" w:rsidRDefault="00524B6B">
      <w:pPr>
        <w:rPr>
          <w:lang w:val="en-GB"/>
        </w:rPr>
      </w:pPr>
    </w:p>
    <w:p w14:paraId="45FF7B18" w14:textId="77777777" w:rsidR="0075756F" w:rsidRDefault="00BD3B1B">
      <w:pPr>
        <w:rPr>
          <w:lang w:val="en-GB"/>
        </w:rPr>
      </w:pPr>
      <w:r w:rsidRPr="00E60410">
        <w:rPr>
          <w:lang w:val="en-GB"/>
        </w:rPr>
        <w:t>Smart buildings and cities, which are shared spaces used by multiple user groups, are relevant examples of where this model can be of practical value. These are environments that house multiple IoT applications. There are also dependencies between applications and user groups, between short-term decisions driven by the pace of technology evolution and constraints on the built environment where assets might be designed to last fifty to a hundred years.</w:t>
      </w:r>
    </w:p>
    <w:p w14:paraId="3B45A76A" w14:textId="77777777" w:rsidR="0075756F" w:rsidRDefault="0075756F">
      <w:pPr>
        <w:rPr>
          <w:lang w:val="en-GB"/>
        </w:rPr>
      </w:pPr>
    </w:p>
    <w:p w14:paraId="00000143" w14:textId="305A180F" w:rsidR="00524B6B" w:rsidRPr="00E60410" w:rsidRDefault="00BD3B1B">
      <w:pPr>
        <w:rPr>
          <w:lang w:val="en-GB"/>
        </w:rPr>
      </w:pPr>
      <w:r w:rsidRPr="00E60410">
        <w:rPr>
          <w:lang w:val="en-GB"/>
        </w:rPr>
        <w:t xml:space="preserve">In practice, it is a big challenge </w:t>
      </w:r>
      <w:r w:rsidR="00827352">
        <w:rPr>
          <w:lang w:val="en-GB"/>
        </w:rPr>
        <w:t xml:space="preserve">for </w:t>
      </w:r>
      <w:r w:rsidRPr="00E60410">
        <w:rPr>
          <w:lang w:val="en-GB"/>
        </w:rPr>
        <w:t xml:space="preserve">smart cities </w:t>
      </w:r>
      <w:r w:rsidR="00827352">
        <w:rPr>
          <w:lang w:val="en-GB"/>
        </w:rPr>
        <w:t xml:space="preserve">to engage </w:t>
      </w:r>
      <w:r w:rsidRPr="00E60410">
        <w:rPr>
          <w:lang w:val="en-GB"/>
        </w:rPr>
        <w:t>across all the application areas at once, linking areas which have historically been independent silos. Nevertheless, this is a scenario that calls for</w:t>
      </w:r>
      <w:r w:rsidR="00827352">
        <w:rPr>
          <w:lang w:val="en-GB"/>
        </w:rPr>
        <w:t xml:space="preserve"> a</w:t>
      </w:r>
      <w:r w:rsidRPr="00E60410">
        <w:rPr>
          <w:lang w:val="en-GB"/>
        </w:rPr>
        <w:t xml:space="preserve"> </w:t>
      </w:r>
      <w:hyperlink r:id="rId36" w:history="1">
        <w:r w:rsidRPr="00827352">
          <w:rPr>
            <w:rStyle w:val="Hyperlink"/>
            <w:lang w:val="en-GB"/>
          </w:rPr>
          <w:t>‘horizontal</w:t>
        </w:r>
        <w:r w:rsidR="00DF6F71" w:rsidRPr="00827352">
          <w:rPr>
            <w:rStyle w:val="Hyperlink"/>
            <w:lang w:val="en-GB"/>
          </w:rPr>
          <w:t>’ architecture approach</w:t>
        </w:r>
      </w:hyperlink>
      <w:r w:rsidRPr="00E60410">
        <w:rPr>
          <w:lang w:val="en-GB"/>
        </w:rPr>
        <w:t xml:space="preserve">. </w:t>
      </w:r>
    </w:p>
    <w:p w14:paraId="00000144" w14:textId="77777777" w:rsidR="00524B6B" w:rsidRPr="00E60410" w:rsidRDefault="00524B6B">
      <w:pPr>
        <w:rPr>
          <w:lang w:val="en-GB"/>
        </w:rPr>
      </w:pPr>
    </w:p>
    <w:p w14:paraId="00000145" w14:textId="662CA8D7" w:rsidR="00524B6B" w:rsidRPr="00E60410" w:rsidRDefault="00BD3B1B">
      <w:pPr>
        <w:rPr>
          <w:lang w:val="en-GB"/>
        </w:rPr>
      </w:pPr>
      <w:r w:rsidRPr="00E60410">
        <w:rPr>
          <w:lang w:val="en-GB"/>
        </w:rPr>
        <w:t xml:space="preserve">Most cities with any track record in this field will have started their smart city journey via a single application, often motivated by a technology-driven means to reduce operating costs. Smart parking, dynamic street lighting and intelligent waste collection are three such examples. The next phase of the smart city journey is typically to build additional applications that leverage </w:t>
      </w:r>
      <w:r w:rsidR="00E60410" w:rsidRPr="00E60410">
        <w:rPr>
          <w:lang w:val="en-GB"/>
        </w:rPr>
        <w:t>early-stage</w:t>
      </w:r>
      <w:r w:rsidRPr="00E60410">
        <w:rPr>
          <w:lang w:val="en-GB"/>
        </w:rPr>
        <w:t xml:space="preserve"> investments. Smart lighting installations, for example, can support environmental monitoring, public </w:t>
      </w:r>
      <w:r w:rsidR="00E60410" w:rsidRPr="00E60410">
        <w:rPr>
          <w:lang w:val="en-GB"/>
        </w:rPr>
        <w:t>safety,</w:t>
      </w:r>
      <w:r w:rsidRPr="00E60410">
        <w:rPr>
          <w:lang w:val="en-GB"/>
        </w:rPr>
        <w:t xml:space="preserve"> and traffic management applications through the addition of sensors and the application of pattern recognition techniques. </w:t>
      </w:r>
    </w:p>
    <w:p w14:paraId="00000146" w14:textId="77777777" w:rsidR="00524B6B" w:rsidRPr="00E60410" w:rsidRDefault="00524B6B">
      <w:pPr>
        <w:rPr>
          <w:lang w:val="en-GB"/>
        </w:rPr>
      </w:pPr>
    </w:p>
    <w:p w14:paraId="00000147" w14:textId="1DC25C24" w:rsidR="00524B6B" w:rsidRPr="00E60410" w:rsidRDefault="00BD3B1B">
      <w:pPr>
        <w:rPr>
          <w:lang w:val="en-GB"/>
        </w:rPr>
      </w:pPr>
      <w:r w:rsidRPr="00E60410">
        <w:rPr>
          <w:lang w:val="en-GB"/>
        </w:rPr>
        <w:t xml:space="preserve">Problems may arise when these early commitments begin to limit the ability of a city to improve, innovate and expand its portfolio. This is the dilemma of vertical, single-purpose, fast-to-market strategies that function as silos. With the passing of time, they demand </w:t>
      </w:r>
      <w:r w:rsidRPr="00E60410">
        <w:rPr>
          <w:lang w:val="en-GB"/>
        </w:rPr>
        <w:lastRenderedPageBreak/>
        <w:t>significant new investment in redesign and system integration efforts to avoid becoming ‘orphan</w:t>
      </w:r>
      <w:r w:rsidR="00E60410">
        <w:rPr>
          <w:lang w:val="en-GB"/>
        </w:rPr>
        <w:t>’</w:t>
      </w:r>
      <w:r w:rsidRPr="00E60410">
        <w:rPr>
          <w:lang w:val="en-GB"/>
        </w:rPr>
        <w:t xml:space="preserve"> </w:t>
      </w:r>
      <w:r w:rsidR="00827352">
        <w:rPr>
          <w:lang w:val="en-GB"/>
        </w:rPr>
        <w:t xml:space="preserve">or silo </w:t>
      </w:r>
      <w:r w:rsidRPr="00E60410">
        <w:rPr>
          <w:lang w:val="en-GB"/>
        </w:rPr>
        <w:t>investments.</w:t>
      </w:r>
    </w:p>
    <w:p w14:paraId="00000148" w14:textId="77777777" w:rsidR="00524B6B" w:rsidRPr="00E60410" w:rsidRDefault="00524B6B">
      <w:pPr>
        <w:rPr>
          <w:lang w:val="en-GB"/>
        </w:rPr>
      </w:pPr>
    </w:p>
    <w:p w14:paraId="00000149" w14:textId="6A2CF09F" w:rsidR="00524B6B" w:rsidRPr="00E60410" w:rsidRDefault="00BD3B1B">
      <w:pPr>
        <w:rPr>
          <w:lang w:val="en-GB"/>
        </w:rPr>
      </w:pPr>
      <w:r w:rsidRPr="00E60410">
        <w:rPr>
          <w:lang w:val="en-GB"/>
        </w:rPr>
        <w:t>When city authorities launch vertical initiatives to address local issues, they should plan for the future where individual applications must scale vertically (</w:t>
      </w:r>
      <w:r w:rsidR="00E60410" w:rsidRPr="00E60410">
        <w:rPr>
          <w:lang w:val="en-GB"/>
        </w:rPr>
        <w:t>e.g.,</w:t>
      </w:r>
      <w:r w:rsidRPr="00E60410">
        <w:rPr>
          <w:lang w:val="en-GB"/>
        </w:rPr>
        <w:t xml:space="preserve"> adding more districts to a smart street lighting system) and evolve horizontally. </w:t>
      </w:r>
      <w:r w:rsidR="00827352">
        <w:rPr>
          <w:lang w:val="en-GB"/>
        </w:rPr>
        <w:t xml:space="preserve">Take </w:t>
      </w:r>
      <w:r w:rsidRPr="00E60410">
        <w:rPr>
          <w:lang w:val="en-GB"/>
        </w:rPr>
        <w:t xml:space="preserve">the example of traffic monitoring sensors for a congestion management application. In time, the traffic-related infrastructure could accommodate environmental and other sensors, implying a high potential for re-use at the hardware and communications layers. </w:t>
      </w:r>
      <w:r w:rsidR="00827352">
        <w:rPr>
          <w:lang w:val="en-GB"/>
        </w:rPr>
        <w:t>Then</w:t>
      </w:r>
      <w:r w:rsidRPr="00E60410">
        <w:rPr>
          <w:lang w:val="en-GB"/>
        </w:rPr>
        <w:t xml:space="preserve">, integration into city planning tools (for housing, green areas, siting of hospitals and aged care centres) can improve citizen health and safeguard wellness in the future. This is where a horizontal design approach from the outset </w:t>
      </w:r>
      <w:r w:rsidR="00827352">
        <w:rPr>
          <w:lang w:val="en-GB"/>
        </w:rPr>
        <w:t xml:space="preserve">offers </w:t>
      </w:r>
      <w:r w:rsidRPr="00E60410">
        <w:rPr>
          <w:lang w:val="en-GB"/>
        </w:rPr>
        <w:t>long term</w:t>
      </w:r>
      <w:r w:rsidR="003F0EBF">
        <w:rPr>
          <w:lang w:val="en-GB"/>
        </w:rPr>
        <w:t>,</w:t>
      </w:r>
      <w:r w:rsidRPr="00E60410">
        <w:rPr>
          <w:lang w:val="en-GB"/>
        </w:rPr>
        <w:t xml:space="preserve"> sustainability impacts by maximizing reuse and </w:t>
      </w:r>
      <w:r w:rsidR="003F0EBF">
        <w:rPr>
          <w:lang w:val="en-GB"/>
        </w:rPr>
        <w:t xml:space="preserve">preserving </w:t>
      </w:r>
      <w:r w:rsidRPr="00E60410">
        <w:rPr>
          <w:lang w:val="en-GB"/>
        </w:rPr>
        <w:t xml:space="preserve">the </w:t>
      </w:r>
      <w:r w:rsidR="003F0EBF">
        <w:rPr>
          <w:lang w:val="en-GB"/>
        </w:rPr>
        <w:t xml:space="preserve">usefulness of previously </w:t>
      </w:r>
      <w:r w:rsidRPr="00E60410">
        <w:rPr>
          <w:lang w:val="en-GB"/>
        </w:rPr>
        <w:t>deployed assets.</w:t>
      </w:r>
    </w:p>
    <w:p w14:paraId="0000014A" w14:textId="77777777" w:rsidR="00524B6B" w:rsidRPr="00E60410" w:rsidRDefault="00BD3B1B">
      <w:pPr>
        <w:pStyle w:val="Heading2"/>
        <w:rPr>
          <w:lang w:val="en-GB"/>
        </w:rPr>
      </w:pPr>
      <w:bookmarkStart w:id="19" w:name="_Toc82352549"/>
      <w:r w:rsidRPr="00E60410">
        <w:rPr>
          <w:lang w:val="en-GB"/>
        </w:rPr>
        <w:t>4.2. Principles for Designing Sustainability</w:t>
      </w:r>
      <w:bookmarkEnd w:id="19"/>
    </w:p>
    <w:p w14:paraId="0000014B" w14:textId="63B28C54" w:rsidR="00524B6B" w:rsidRPr="00E60410" w:rsidRDefault="002F7D2C">
      <w:pPr>
        <w:spacing w:before="240" w:after="240"/>
        <w:rPr>
          <w:lang w:val="en-GB"/>
        </w:rPr>
      </w:pPr>
      <w:r w:rsidRPr="002F7D2C">
        <w:rPr>
          <w:noProof/>
        </w:rPr>
        <w:drawing>
          <wp:anchor distT="0" distB="0" distL="114300" distR="114300" simplePos="0" relativeHeight="251660288" behindDoc="0" locked="0" layoutInCell="1" allowOverlap="1" wp14:anchorId="2F2A91BA" wp14:editId="0F258104">
            <wp:simplePos x="0" y="0"/>
            <wp:positionH relativeFrom="column">
              <wp:posOffset>4152900</wp:posOffset>
            </wp:positionH>
            <wp:positionV relativeFrom="paragraph">
              <wp:posOffset>932180</wp:posOffset>
            </wp:positionV>
            <wp:extent cx="1656080" cy="2781300"/>
            <wp:effectExtent l="0" t="0" r="127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56080" cy="2781300"/>
                    </a:xfrm>
                    <a:prstGeom prst="rect">
                      <a:avLst/>
                    </a:prstGeom>
                    <a:noFill/>
                    <a:ln>
                      <a:noFill/>
                    </a:ln>
                  </pic:spPr>
                </pic:pic>
              </a:graphicData>
            </a:graphic>
          </wp:anchor>
        </w:drawing>
      </w:r>
      <w:r w:rsidR="00BD3B1B" w:rsidRPr="00E60410">
        <w:rPr>
          <w:lang w:val="en-GB"/>
        </w:rPr>
        <w:t>In addition to using IoT systems to enable applications that have a sustainability impact, it is also important to encourage developers and service providers to design systems based on sustainability principles. These include design for interoperability, scalability, modularity, and re-use.</w:t>
      </w:r>
      <w:r w:rsidRPr="002F7D2C">
        <w:rPr>
          <w:lang w:val="en-GB"/>
        </w:rPr>
        <w:t xml:space="preserve"> </w:t>
      </w:r>
    </w:p>
    <w:p w14:paraId="0000014C" w14:textId="689CD55F" w:rsidR="00524B6B" w:rsidRPr="00E60410" w:rsidRDefault="00BD3B1B">
      <w:pPr>
        <w:spacing w:before="240" w:after="240"/>
        <w:rPr>
          <w:lang w:val="en-GB"/>
        </w:rPr>
      </w:pPr>
      <w:r w:rsidRPr="00E60410">
        <w:rPr>
          <w:b/>
          <w:lang w:val="en-GB"/>
        </w:rPr>
        <w:t>Interoperability</w:t>
      </w:r>
      <w:r w:rsidRPr="00E60410">
        <w:rPr>
          <w:lang w:val="en-GB"/>
        </w:rPr>
        <w:t xml:space="preserve"> manifests itself in many ways. One example involves the ability to interchange computing and device components from different suppliers. Another example, higher up the IoT solution stack, allows for the exchange of data across application and operational silos. Each of these interoperability facets can benefit from </w:t>
      </w:r>
      <w:r w:rsidRPr="00E60410">
        <w:rPr>
          <w:b/>
          <w:lang w:val="en-GB"/>
        </w:rPr>
        <w:t>standardization</w:t>
      </w:r>
      <w:r w:rsidRPr="00E60410">
        <w:rPr>
          <w:lang w:val="en-GB"/>
        </w:rPr>
        <w:t xml:space="preserve">. This is because standardization creates a pathway to </w:t>
      </w:r>
      <w:r w:rsidRPr="00E60410">
        <w:rPr>
          <w:b/>
          <w:lang w:val="en-GB"/>
        </w:rPr>
        <w:t>scalability</w:t>
      </w:r>
      <w:r w:rsidRPr="00E60410">
        <w:rPr>
          <w:lang w:val="en-GB"/>
        </w:rPr>
        <w:t>, through economies of scale from a large and dynamic supplier base.</w:t>
      </w:r>
    </w:p>
    <w:p w14:paraId="0000014D" w14:textId="045AF09A" w:rsidR="00524B6B" w:rsidRPr="00E60410" w:rsidRDefault="002F7D2C">
      <w:pPr>
        <w:spacing w:before="240" w:after="240"/>
        <w:rPr>
          <w:lang w:val="en-GB"/>
        </w:rPr>
      </w:pPr>
      <w:r>
        <w:rPr>
          <w:noProof/>
        </w:rPr>
        <mc:AlternateContent>
          <mc:Choice Requires="wps">
            <w:drawing>
              <wp:anchor distT="0" distB="0" distL="114300" distR="114300" simplePos="0" relativeHeight="251662336" behindDoc="0" locked="0" layoutInCell="1" allowOverlap="1" wp14:anchorId="0960D3BB" wp14:editId="3AFF6C84">
                <wp:simplePos x="0" y="0"/>
                <wp:positionH relativeFrom="column">
                  <wp:posOffset>4152900</wp:posOffset>
                </wp:positionH>
                <wp:positionV relativeFrom="paragraph">
                  <wp:posOffset>1172210</wp:posOffset>
                </wp:positionV>
                <wp:extent cx="1656080" cy="635"/>
                <wp:effectExtent l="0" t="0" r="1270" b="0"/>
                <wp:wrapSquare wrapText="bothSides"/>
                <wp:docPr id="9" name="Text Box 9"/>
                <wp:cNvGraphicFramePr/>
                <a:graphic xmlns:a="http://schemas.openxmlformats.org/drawingml/2006/main">
                  <a:graphicData uri="http://schemas.microsoft.com/office/word/2010/wordprocessingShape">
                    <wps:wsp>
                      <wps:cNvSpPr txBox="1"/>
                      <wps:spPr>
                        <a:xfrm>
                          <a:off x="0" y="0"/>
                          <a:ext cx="1656080" cy="635"/>
                        </a:xfrm>
                        <a:prstGeom prst="rect">
                          <a:avLst/>
                        </a:prstGeom>
                        <a:solidFill>
                          <a:prstClr val="white"/>
                        </a:solidFill>
                        <a:ln>
                          <a:noFill/>
                        </a:ln>
                      </wps:spPr>
                      <wps:txbx>
                        <w:txbxContent>
                          <w:p w14:paraId="3C3F5766" w14:textId="689E377E" w:rsidR="002F7D2C" w:rsidRPr="000B5C7C" w:rsidRDefault="002F7D2C" w:rsidP="002F7D2C">
                            <w:pPr>
                              <w:pStyle w:val="Caption"/>
                            </w:pPr>
                            <w:r>
                              <w:t xml:space="preserve">Figure </w:t>
                            </w:r>
                            <w:fldSimple w:instr=" SEQ Figure \* ARABIC ">
                              <w:r w:rsidR="00B405D3">
                                <w:rPr>
                                  <w:noProof/>
                                </w:rPr>
                                <w:t>5</w:t>
                              </w:r>
                            </w:fldSimple>
                            <w:r>
                              <w:t xml:space="preserve"> Sustainable Design Principles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960D3BB" id="_x0000_t202" coordsize="21600,21600" o:spt="202" path="m,l,21600r21600,l21600,xe">
                <v:stroke joinstyle="miter"/>
                <v:path gradientshapeok="t" o:connecttype="rect"/>
              </v:shapetype>
              <v:shape id="Text Box 9" o:spid="_x0000_s1026" type="#_x0000_t202" style="position:absolute;margin-left:327pt;margin-top:92.3pt;width:130.4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" stroked="f">
                <v:textbox style="mso-fit-shape-to-text:t" inset="0,0,0,0">
                  <w:txbxContent>
                    <w:p w14:paraId="3C3F5766" w14:textId="689E377E" w:rsidR="002F7D2C" w:rsidRPr="000B5C7C" w:rsidRDefault="002F7D2C" w:rsidP="002F7D2C">
                      <w:pPr>
                        <w:pStyle w:val="Caption"/>
                      </w:pPr>
                      <w:r>
                        <w:t xml:space="preserve">Figure </w:t>
                      </w:r>
                      <w:fldSimple w:instr=" SEQ Figure \* ARABIC ">
                        <w:r w:rsidR="00B405D3">
                          <w:rPr>
                            <w:noProof/>
                          </w:rPr>
                          <w:t>5</w:t>
                        </w:r>
                      </w:fldSimple>
                      <w:r>
                        <w:t xml:space="preserve"> Sustainable Design Principles</w:t>
                      </w:r>
                    </w:p>
                  </w:txbxContent>
                </v:textbox>
                <w10:wrap type="square"/>
              </v:shape>
            </w:pict>
          </mc:Fallback>
        </mc:AlternateContent>
      </w:r>
      <w:r w:rsidR="00BD3B1B" w:rsidRPr="00E60410">
        <w:rPr>
          <w:b/>
          <w:lang w:val="en-GB"/>
        </w:rPr>
        <w:t>Modularity</w:t>
      </w:r>
      <w:r w:rsidR="00BD3B1B" w:rsidRPr="00E60410">
        <w:rPr>
          <w:lang w:val="en-GB"/>
        </w:rPr>
        <w:t xml:space="preserve"> in system and software design helps designers to combine sub-systems. As a design principle, it helps developers to build IoT systems that combine new capabilities with legacy systems. This preserves some value of deployed systems without foreshortening their useful service lives. This is also an aspect of the</w:t>
      </w:r>
      <w:r w:rsidR="00BD3B1B" w:rsidRPr="00E60410">
        <w:rPr>
          <w:b/>
          <w:lang w:val="en-GB"/>
        </w:rPr>
        <w:t xml:space="preserve"> ‘re-use’ principle</w:t>
      </w:r>
      <w:r w:rsidR="00BD3B1B" w:rsidRPr="00E60410">
        <w:rPr>
          <w:lang w:val="en-GB"/>
        </w:rPr>
        <w:t>. The aim here is to create solutions and sub-systems that other developers can employ to save time and improve their productivity.</w:t>
      </w:r>
    </w:p>
    <w:p w14:paraId="0000014E" w14:textId="77777777" w:rsidR="00524B6B" w:rsidRPr="00E60410" w:rsidRDefault="00BD3B1B">
      <w:pPr>
        <w:rPr>
          <w:lang w:val="en-GB"/>
        </w:rPr>
      </w:pPr>
      <w:r w:rsidRPr="00E60410">
        <w:rPr>
          <w:lang w:val="en-GB"/>
        </w:rPr>
        <w:t xml:space="preserve">The early experience of sustainability in the corporate arena highlights the importance of agreed frameworks and common reporting standards. Examples include the UN’s SDGs, the GRI business reporting framework and new initiatives to guide the investor community on corporate sustainability. These principles are equally applicable for the technology and IoT markets, where early support for standardization at the device and connectivity layers is </w:t>
      </w:r>
      <w:r w:rsidRPr="00E60410">
        <w:rPr>
          <w:lang w:val="en-GB"/>
        </w:rPr>
        <w:lastRenderedPageBreak/>
        <w:t xml:space="preserve">beginning to extend to data (standards data models), data-sharing (semantic interoperability and data licensing) and </w:t>
      </w:r>
      <w:hyperlink r:id="rId38">
        <w:r w:rsidRPr="00E60410">
          <w:rPr>
            <w:color w:val="1155CC"/>
            <w:u w:val="single"/>
            <w:lang w:val="en-GB"/>
          </w:rPr>
          <w:t>data-privacy management</w:t>
        </w:r>
      </w:hyperlink>
      <w:r w:rsidRPr="00E60410">
        <w:rPr>
          <w:lang w:val="en-GB"/>
        </w:rPr>
        <w:t xml:space="preserve"> topics.</w:t>
      </w:r>
    </w:p>
    <w:p w14:paraId="0000014F" w14:textId="7A344F5E" w:rsidR="00524B6B" w:rsidRDefault="00524B6B">
      <w:pPr>
        <w:rPr>
          <w:lang w:val="en-GB"/>
        </w:rPr>
      </w:pPr>
    </w:p>
    <w:tbl>
      <w:tblPr>
        <w:tblStyle w:val="a2"/>
        <w:tblW w:w="9390" w:type="dxa"/>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90"/>
      </w:tblGrid>
      <w:tr w:rsidR="00524B6B" w:rsidRPr="00E60410" w14:paraId="516F8057" w14:textId="77777777" w:rsidTr="00290FBA">
        <w:trPr>
          <w:trHeight w:val="7737"/>
        </w:trPr>
        <w:tc>
          <w:tcPr>
            <w:tcW w:w="9390" w:type="dxa"/>
            <w:shd w:val="clear" w:color="auto" w:fill="F2F2F2" w:themeFill="background1" w:themeFillShade="F2"/>
            <w:tcMar>
              <w:top w:w="100" w:type="dxa"/>
              <w:left w:w="100" w:type="dxa"/>
              <w:bottom w:w="100" w:type="dxa"/>
              <w:right w:w="100" w:type="dxa"/>
            </w:tcMar>
          </w:tcPr>
          <w:p w14:paraId="00000151" w14:textId="77777777" w:rsidR="00524B6B" w:rsidRPr="00290FBA" w:rsidRDefault="00BD3B1B" w:rsidP="00290FBA">
            <w:pPr>
              <w:widowControl w:val="0"/>
              <w:spacing w:before="60" w:after="60" w:line="240" w:lineRule="auto"/>
              <w:jc w:val="center"/>
              <w:rPr>
                <w:b/>
                <w:iCs/>
                <w:sz w:val="32"/>
                <w:szCs w:val="32"/>
                <w:lang w:val="en-GB"/>
              </w:rPr>
            </w:pPr>
            <w:r w:rsidRPr="00E60410">
              <w:rPr>
                <w:lang w:val="en-GB"/>
              </w:rPr>
              <w:t xml:space="preserve">         </w:t>
            </w:r>
            <w:r w:rsidRPr="00290FBA">
              <w:rPr>
                <w:b/>
                <w:iCs/>
                <w:sz w:val="24"/>
                <w:szCs w:val="24"/>
                <w:lang w:val="en-GB"/>
              </w:rPr>
              <w:t>Introduction to the oneM2M standard</w:t>
            </w:r>
          </w:p>
          <w:p w14:paraId="09B192C4" w14:textId="77777777" w:rsidR="00B6054F" w:rsidRDefault="00B6054F">
            <w:pPr>
              <w:spacing w:before="60" w:after="60"/>
              <w:rPr>
                <w:sz w:val="18"/>
                <w:szCs w:val="18"/>
                <w:lang w:val="en-GB"/>
              </w:rPr>
            </w:pPr>
          </w:p>
          <w:p w14:paraId="00000152" w14:textId="712A9561" w:rsidR="00524B6B" w:rsidRPr="00E60410" w:rsidRDefault="00BD3B1B" w:rsidP="00290FBA">
            <w:pPr>
              <w:spacing w:before="60" w:after="60"/>
              <w:rPr>
                <w:sz w:val="18"/>
                <w:szCs w:val="18"/>
                <w:lang w:val="en-GB"/>
              </w:rPr>
            </w:pPr>
            <w:r w:rsidRPr="00E60410">
              <w:rPr>
                <w:sz w:val="18"/>
                <w:szCs w:val="18"/>
                <w:lang w:val="en-GB"/>
              </w:rPr>
              <w:t>In 2012, a group of national standardization bodies launched oneM2M to create a global standard for IoT systems. The solution to widespread adoption and affordability of IoT systems relies on minimizing industry fragmentation from local and national approaches. There was an emphasis on defining a general-purpose framework, or a horizontal architecture, that would be applicable to multiple application verticals. This required an analysis of multiple use-cases, spanning several different vertical domains, to identify commonalities for standardization.</w:t>
            </w:r>
          </w:p>
          <w:p w14:paraId="5D8FF704" w14:textId="59701BDC" w:rsidR="00B6054F" w:rsidRPr="00E60410" w:rsidRDefault="00BD3B1B" w:rsidP="00290FBA">
            <w:pPr>
              <w:spacing w:before="60" w:after="60"/>
              <w:rPr>
                <w:sz w:val="18"/>
                <w:szCs w:val="18"/>
                <w:lang w:val="en-GB"/>
              </w:rPr>
            </w:pPr>
            <w:r w:rsidRPr="00E60410">
              <w:rPr>
                <w:sz w:val="18"/>
                <w:szCs w:val="18"/>
                <w:lang w:val="en-GB"/>
              </w:rPr>
              <w:t>oneM2M employs a three-layer architecture, comprising a middleware capability that resides between an upper, IoT application layer, and a lower layer for devices and connectivity technologies. The middleware comprises a family of common service functions in the form of a toolkit that developers can draw upon, as needed, for their deployment requirements.</w:t>
            </w:r>
          </w:p>
          <w:p w14:paraId="00000154" w14:textId="05383C21" w:rsidR="00524B6B" w:rsidRPr="00E60410" w:rsidRDefault="00CB3A1F" w:rsidP="00290FBA">
            <w:pPr>
              <w:spacing w:before="60" w:after="60"/>
              <w:jc w:val="center"/>
              <w:rPr>
                <w:sz w:val="18"/>
                <w:szCs w:val="18"/>
                <w:lang w:val="en-GB"/>
              </w:rPr>
            </w:pPr>
            <w:r w:rsidRPr="00CB3A1F">
              <w:rPr>
                <w:noProof/>
                <w:sz w:val="18"/>
                <w:szCs w:val="18"/>
                <w:lang w:val="en-GB"/>
              </w:rPr>
              <w:drawing>
                <wp:inline distT="0" distB="0" distL="0" distR="0" wp14:anchorId="1B851DC6" wp14:editId="3EC9A840">
                  <wp:extent cx="5495925" cy="26940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04386" cy="2698229"/>
                          </a:xfrm>
                          <a:prstGeom prst="rect">
                            <a:avLst/>
                          </a:prstGeom>
                          <a:noFill/>
                          <a:ln>
                            <a:noFill/>
                          </a:ln>
                        </pic:spPr>
                      </pic:pic>
                    </a:graphicData>
                  </a:graphic>
                </wp:inline>
              </w:drawing>
            </w:r>
          </w:p>
          <w:p w14:paraId="00000155" w14:textId="47964CD3" w:rsidR="00524B6B" w:rsidRPr="00E60410" w:rsidRDefault="00BD3B1B" w:rsidP="00290FBA">
            <w:pPr>
              <w:spacing w:before="60" w:after="60"/>
              <w:rPr>
                <w:sz w:val="18"/>
                <w:szCs w:val="18"/>
                <w:lang w:val="en-GB"/>
              </w:rPr>
            </w:pPr>
            <w:r w:rsidRPr="00E60410">
              <w:rPr>
                <w:sz w:val="18"/>
                <w:szCs w:val="18"/>
                <w:lang w:val="en-GB"/>
              </w:rPr>
              <w:t xml:space="preserve">oneM2M is a continuous standardization body that operates to a release cycle (Release 4 shortly to be launched and work is underway on Release 5 features). As a result, the list of common service functions has expanded over time. It now numbers fourteen items with </w:t>
            </w:r>
            <w:r w:rsidR="00DB643B">
              <w:rPr>
                <w:sz w:val="18"/>
                <w:szCs w:val="18"/>
                <w:lang w:val="en-GB"/>
              </w:rPr>
              <w:t>three new capabilities –</w:t>
            </w:r>
            <w:r w:rsidRPr="00E60410">
              <w:rPr>
                <w:sz w:val="18"/>
                <w:szCs w:val="18"/>
                <w:lang w:val="en-GB"/>
              </w:rPr>
              <w:t xml:space="preserve"> </w:t>
            </w:r>
            <w:r w:rsidR="00DB643B">
              <w:rPr>
                <w:sz w:val="18"/>
                <w:szCs w:val="18"/>
                <w:lang w:val="en-GB"/>
              </w:rPr>
              <w:t xml:space="preserve">Process Management, session Management and, </w:t>
            </w:r>
            <w:r w:rsidR="00E60410" w:rsidRPr="00E60410">
              <w:rPr>
                <w:sz w:val="18"/>
                <w:szCs w:val="18"/>
                <w:lang w:val="en-GB"/>
              </w:rPr>
              <w:t>Time</w:t>
            </w:r>
            <w:r w:rsidRPr="00E60410">
              <w:rPr>
                <w:sz w:val="18"/>
                <w:szCs w:val="18"/>
                <w:lang w:val="en-GB"/>
              </w:rPr>
              <w:t xml:space="preserve"> Management </w:t>
            </w:r>
            <w:r w:rsidR="00DB643B">
              <w:rPr>
                <w:sz w:val="18"/>
                <w:szCs w:val="18"/>
                <w:lang w:val="en-GB"/>
              </w:rPr>
              <w:t>–</w:t>
            </w:r>
            <w:r w:rsidRPr="00E60410">
              <w:rPr>
                <w:sz w:val="18"/>
                <w:szCs w:val="18"/>
                <w:lang w:val="en-GB"/>
              </w:rPr>
              <w:t xml:space="preserve"> </w:t>
            </w:r>
            <w:r w:rsidR="00DB643B">
              <w:rPr>
                <w:sz w:val="18"/>
                <w:szCs w:val="18"/>
                <w:lang w:val="en-GB"/>
              </w:rPr>
              <w:t xml:space="preserve">set for inclusion </w:t>
            </w:r>
            <w:r w:rsidRPr="00E60410">
              <w:rPr>
                <w:sz w:val="18"/>
                <w:szCs w:val="18"/>
                <w:lang w:val="en-GB"/>
              </w:rPr>
              <w:t>in Release 4 of the standard.</w:t>
            </w:r>
          </w:p>
        </w:tc>
      </w:tr>
    </w:tbl>
    <w:p w14:paraId="00000156" w14:textId="77777777" w:rsidR="00524B6B" w:rsidRPr="00E60410" w:rsidRDefault="00524B6B">
      <w:pPr>
        <w:rPr>
          <w:lang w:val="en-GB"/>
        </w:rPr>
      </w:pPr>
    </w:p>
    <w:p w14:paraId="00000157" w14:textId="77777777" w:rsidR="00524B6B" w:rsidRPr="00E60410" w:rsidRDefault="00BD3B1B">
      <w:pPr>
        <w:pStyle w:val="Heading2"/>
        <w:rPr>
          <w:lang w:val="en-GB"/>
        </w:rPr>
      </w:pPr>
      <w:bookmarkStart w:id="20" w:name="_Toc82352550"/>
      <w:r w:rsidRPr="00E60410">
        <w:rPr>
          <w:lang w:val="en-GB"/>
        </w:rPr>
        <w:t>4.3 Application of Sustainable Technologies</w:t>
      </w:r>
      <w:bookmarkEnd w:id="20"/>
    </w:p>
    <w:p w14:paraId="00000158" w14:textId="7D6CC231" w:rsidR="00524B6B" w:rsidRPr="00E60410" w:rsidRDefault="00BD3B1B">
      <w:pPr>
        <w:spacing w:before="240" w:after="240"/>
        <w:rPr>
          <w:sz w:val="21"/>
          <w:szCs w:val="21"/>
          <w:highlight w:val="white"/>
          <w:lang w:val="en-GB"/>
        </w:rPr>
      </w:pPr>
      <w:r w:rsidRPr="00E60410">
        <w:rPr>
          <w:sz w:val="21"/>
          <w:szCs w:val="21"/>
          <w:highlight w:val="white"/>
          <w:lang w:val="en-GB"/>
        </w:rPr>
        <w:t>In the past, much discussion focused on efficient hardware designs to improve the energy performance and service life of constrained, IoT devices. In contrast to smartphones that are charged on an almost daily basis, some IoT devices are expected to survive in remote locations for as many as ten years. However, if devices remain connected to the network during times when there are no IoT applications interested in communicating with these devices, then this results in non-optimal consumption of device resources (</w:t>
      </w:r>
      <w:r w:rsidR="00E60410" w:rsidRPr="00E60410">
        <w:rPr>
          <w:sz w:val="21"/>
          <w:szCs w:val="21"/>
          <w:highlight w:val="white"/>
          <w:lang w:val="en-GB"/>
        </w:rPr>
        <w:t>e.g.,</w:t>
      </w:r>
      <w:r w:rsidRPr="00E60410">
        <w:rPr>
          <w:sz w:val="21"/>
          <w:szCs w:val="21"/>
          <w:highlight w:val="white"/>
          <w:lang w:val="en-GB"/>
        </w:rPr>
        <w:t xml:space="preserve"> battery) and network resources. Likewise, if applications repeatedly poll devices when these devices have no new information to share or the </w:t>
      </w:r>
      <w:r w:rsidRPr="00E60410">
        <w:rPr>
          <w:sz w:val="21"/>
          <w:szCs w:val="21"/>
          <w:highlight w:val="white"/>
          <w:lang w:val="en-GB"/>
        </w:rPr>
        <w:lastRenderedPageBreak/>
        <w:t>devices are sleeping and not connected to the network, then this also results in non-optimal consumption of device resources (</w:t>
      </w:r>
      <w:r w:rsidR="00E60410" w:rsidRPr="00E60410">
        <w:rPr>
          <w:sz w:val="21"/>
          <w:szCs w:val="21"/>
          <w:highlight w:val="white"/>
          <w:lang w:val="en-GB"/>
        </w:rPr>
        <w:t>e.g.,</w:t>
      </w:r>
      <w:r w:rsidRPr="00E60410">
        <w:rPr>
          <w:sz w:val="21"/>
          <w:szCs w:val="21"/>
          <w:highlight w:val="white"/>
          <w:lang w:val="en-GB"/>
        </w:rPr>
        <w:t xml:space="preserve"> battery) and network resources. As a result, there is a need for a new set of operational procedures and related technologies. ‘Sleep modes’ are one such method for gathering and sending data without a device needing to be constantly switched on or continuously polling the network. This has a major impact on energy efficiency but requires an agreed handshake between device and network combined with software intelligence to optimize connectivity and data transmission.</w:t>
      </w:r>
    </w:p>
    <w:p w14:paraId="00000159" w14:textId="77777777" w:rsidR="00524B6B" w:rsidRPr="00E60410" w:rsidRDefault="00BD3B1B">
      <w:pPr>
        <w:rPr>
          <w:lang w:val="en-GB"/>
        </w:rPr>
      </w:pPr>
      <w:r w:rsidRPr="00E60410">
        <w:rPr>
          <w:lang w:val="en-GB"/>
        </w:rPr>
        <w:t>If communications between networks and devices can be coordinated, then it is possible to</w:t>
      </w:r>
      <w:hyperlink r:id="rId40">
        <w:r w:rsidRPr="00E60410">
          <w:rPr>
            <w:color w:val="1155CC"/>
            <w:u w:val="single"/>
            <w:lang w:val="en-GB"/>
          </w:rPr>
          <w:t xml:space="preserve"> design for energy conservation</w:t>
        </w:r>
      </w:hyperlink>
      <w:r w:rsidRPr="00E60410">
        <w:rPr>
          <w:lang w:val="en-GB"/>
        </w:rPr>
        <w:t xml:space="preserve">. In the case of IoT applications operating over cellular networks, 3GPP standards define a northbound API for exposing underlying cellular network functionality to configure ‘sleep mode’ timers for devices. oneM2M has its API for interworking with 3GPP networks which translates 3GPP data structures into a format that IoT developers can use as part of their IoT toolkit. They can therefore define sleep schedules in the context of their application requirements. </w:t>
      </w:r>
    </w:p>
    <w:p w14:paraId="0000015A" w14:textId="77777777" w:rsidR="00524B6B" w:rsidRPr="00E60410" w:rsidRDefault="00524B6B">
      <w:pPr>
        <w:rPr>
          <w:lang w:val="en-GB"/>
        </w:rPr>
      </w:pPr>
    </w:p>
    <w:p w14:paraId="0000015B" w14:textId="77777777" w:rsidR="00524B6B" w:rsidRPr="00E60410" w:rsidRDefault="00BD3B1B">
      <w:pPr>
        <w:rPr>
          <w:lang w:val="en-GB"/>
        </w:rPr>
      </w:pPr>
      <w:r w:rsidRPr="00E60410">
        <w:rPr>
          <w:lang w:val="en-GB"/>
        </w:rPr>
        <w:t>In more complex and multiple device scenarios, oneM2M can aggregate and align schedules of devices and the different applications needing to communicate with these devices. This ensures that IoT devices connect to the network at the optimal times to send and receive data from network applications. The complementary nature of 3GPP and oneM2M standards extends the idea of managing networks responsibly as encouraged by the GSMA through its</w:t>
      </w:r>
      <w:hyperlink r:id="rId41">
        <w:r w:rsidRPr="00E60410">
          <w:rPr>
            <w:color w:val="1155CC"/>
            <w:u w:val="single"/>
            <w:lang w:val="en-GB"/>
          </w:rPr>
          <w:t xml:space="preserve"> IoT connectivity guidelines to ‘do no harm’ to mobile networks</w:t>
        </w:r>
      </w:hyperlink>
      <w:r w:rsidRPr="00E60410">
        <w:rPr>
          <w:lang w:val="en-GB"/>
        </w:rPr>
        <w:t>.</w:t>
      </w:r>
    </w:p>
    <w:p w14:paraId="0000015C" w14:textId="77777777" w:rsidR="00524B6B" w:rsidRPr="00E60410" w:rsidRDefault="00524B6B">
      <w:pPr>
        <w:rPr>
          <w:lang w:val="en-GB"/>
        </w:rPr>
      </w:pPr>
    </w:p>
    <w:p w14:paraId="0000015D" w14:textId="7B08178E" w:rsidR="00524B6B" w:rsidRPr="00E60410" w:rsidRDefault="00BD3B1B">
      <w:pPr>
        <w:rPr>
          <w:lang w:val="en-GB"/>
        </w:rPr>
      </w:pPr>
      <w:r w:rsidRPr="00E60410">
        <w:rPr>
          <w:lang w:val="en-GB"/>
        </w:rPr>
        <w:t xml:space="preserve">Sustainability for IoT devices means the capability to remotely manage IoT devices and for some of them in a long service life to minimize their obsolescence. In this idea, standardisation can be a powerful tool to specify the procedures to re-purpose devices by updating their software with backward compatible enhancements. From a security perspective, oneM2M is making the security protection remotely upgradable by design with features like firmware update that is essential to face new threat surfaces. Keeping security </w:t>
      </w:r>
      <w:r w:rsidR="00E60410" w:rsidRPr="00E60410">
        <w:rPr>
          <w:lang w:val="en-GB"/>
        </w:rPr>
        <w:t>up to date</w:t>
      </w:r>
      <w:r w:rsidRPr="00E60410">
        <w:rPr>
          <w:lang w:val="en-GB"/>
        </w:rPr>
        <w:t xml:space="preserve"> will reduce the pollution created by “things” that become obsolete.</w:t>
      </w:r>
    </w:p>
    <w:p w14:paraId="78428732" w14:textId="1D97A4B7" w:rsidR="005E0FAB" w:rsidRDefault="005E0FAB" w:rsidP="00290FBA">
      <w:pPr>
        <w:pStyle w:val="Heading2"/>
        <w:rPr>
          <w:lang w:val="en-GB"/>
        </w:rPr>
      </w:pPr>
      <w:bookmarkStart w:id="21" w:name="_Toc82352551"/>
      <w:r>
        <w:rPr>
          <w:lang w:val="en-GB"/>
        </w:rPr>
        <w:t xml:space="preserve">4.4. </w:t>
      </w:r>
      <w:r w:rsidR="007F22B6">
        <w:rPr>
          <w:lang w:val="en-GB"/>
        </w:rPr>
        <w:t xml:space="preserve">A </w:t>
      </w:r>
      <w:r>
        <w:rPr>
          <w:lang w:val="en-GB"/>
        </w:rPr>
        <w:t xml:space="preserve">Framework </w:t>
      </w:r>
      <w:r w:rsidR="007F22B6">
        <w:rPr>
          <w:lang w:val="en-GB"/>
        </w:rPr>
        <w:t xml:space="preserve">to </w:t>
      </w:r>
      <w:r>
        <w:rPr>
          <w:lang w:val="en-GB"/>
        </w:rPr>
        <w:t>Preserv</w:t>
      </w:r>
      <w:r w:rsidR="007F22B6">
        <w:rPr>
          <w:lang w:val="en-GB"/>
        </w:rPr>
        <w:t>e</w:t>
      </w:r>
      <w:r>
        <w:rPr>
          <w:lang w:val="en-GB"/>
        </w:rPr>
        <w:t xml:space="preserve"> Legacy System</w:t>
      </w:r>
      <w:r w:rsidR="007F22B6">
        <w:rPr>
          <w:lang w:val="en-GB"/>
        </w:rPr>
        <w:t xml:space="preserve"> </w:t>
      </w:r>
      <w:r>
        <w:rPr>
          <w:lang w:val="en-GB"/>
        </w:rPr>
        <w:t>Investments</w:t>
      </w:r>
      <w:bookmarkEnd w:id="21"/>
    </w:p>
    <w:p w14:paraId="0000015E" w14:textId="37314576" w:rsidR="00524B6B" w:rsidRPr="00E60410" w:rsidRDefault="00BD3B1B">
      <w:pPr>
        <w:spacing w:before="240" w:after="240"/>
        <w:rPr>
          <w:lang w:val="en-GB"/>
        </w:rPr>
      </w:pPr>
      <w:r w:rsidRPr="00E60410">
        <w:rPr>
          <w:lang w:val="en-GB"/>
        </w:rPr>
        <w:t xml:space="preserve">The deployment of IoT applications in operational environments generally involves enhancements to existing assets. This may take the form of </w:t>
      </w:r>
      <w:r w:rsidR="00E60410" w:rsidRPr="00E60410">
        <w:rPr>
          <w:lang w:val="en-GB"/>
        </w:rPr>
        <w:t>retrofitting</w:t>
      </w:r>
      <w:r w:rsidRPr="00E60410">
        <w:rPr>
          <w:lang w:val="en-GB"/>
        </w:rPr>
        <w:t xml:space="preserve"> connectivity technologies to enable data capture and remote actuation. It might also involve capturing data from legacy equipment or sub-systems that may employ proprietary or industry-specific protocols. Examples are the use of OPC-UA for industrial control systems and the OCF framework in smart home appliances. </w:t>
      </w:r>
    </w:p>
    <w:p w14:paraId="0000015F" w14:textId="76D20F31" w:rsidR="00524B6B" w:rsidRPr="00E60410" w:rsidRDefault="00BD3B1B">
      <w:pPr>
        <w:spacing w:before="240" w:after="240"/>
        <w:rPr>
          <w:lang w:val="en-GB"/>
        </w:rPr>
      </w:pPr>
      <w:r w:rsidRPr="00E60410">
        <w:rPr>
          <w:lang w:val="en-GB"/>
        </w:rPr>
        <w:t xml:space="preserve">When new (greenfield) and legacy (brownfield) components are being combined, one approach is to customize integration points. This is not ideal when done on a case-by-case basis. A scalable and </w:t>
      </w:r>
      <w:r w:rsidR="00E60410" w:rsidRPr="00E60410">
        <w:rPr>
          <w:lang w:val="en-GB"/>
        </w:rPr>
        <w:t>general-purpose</w:t>
      </w:r>
      <w:r w:rsidRPr="00E60410">
        <w:rPr>
          <w:lang w:val="en-GB"/>
        </w:rPr>
        <w:t xml:space="preserve"> approach involves the use of interworking standards that support data exchanges between subsystems. This principle is enshrined in the cross-domain hub model that is fundamental to the oneM2M standard as illustrated in</w:t>
      </w:r>
      <w:r w:rsidR="0075756F">
        <w:rPr>
          <w:lang w:val="en-GB"/>
        </w:rPr>
        <w:t xml:space="preserve"> </w:t>
      </w:r>
      <w:r w:rsidR="0075756F">
        <w:rPr>
          <w:lang w:val="en-GB"/>
        </w:rPr>
        <w:fldChar w:fldCharType="begin"/>
      </w:r>
      <w:r w:rsidR="0075756F">
        <w:rPr>
          <w:lang w:val="en-GB"/>
        </w:rPr>
        <w:instrText xml:space="preserve"> REF _Ref81220391 \h </w:instrText>
      </w:r>
      <w:r w:rsidR="0075756F">
        <w:rPr>
          <w:lang w:val="en-GB"/>
        </w:rPr>
      </w:r>
      <w:r w:rsidR="0075756F">
        <w:rPr>
          <w:lang w:val="en-GB"/>
        </w:rPr>
        <w:fldChar w:fldCharType="separate"/>
      </w:r>
      <w:r w:rsidR="00B405D3">
        <w:t xml:space="preserve">Figure </w:t>
      </w:r>
      <w:r w:rsidR="00B405D3">
        <w:rPr>
          <w:noProof/>
        </w:rPr>
        <w:t>6</w:t>
      </w:r>
      <w:r w:rsidR="0075756F">
        <w:rPr>
          <w:lang w:val="en-GB"/>
        </w:rPr>
        <w:fldChar w:fldCharType="end"/>
      </w:r>
      <w:r w:rsidRPr="00E60410">
        <w:rPr>
          <w:lang w:val="en-GB"/>
        </w:rPr>
        <w:t>.</w:t>
      </w:r>
      <w:r w:rsidR="002F7D2C">
        <w:rPr>
          <w:lang w:val="en-GB"/>
        </w:rPr>
        <w:t xml:space="preserve"> </w:t>
      </w:r>
    </w:p>
    <w:p w14:paraId="00000160" w14:textId="77777777" w:rsidR="00524B6B" w:rsidRPr="00E60410" w:rsidRDefault="00524B6B">
      <w:pPr>
        <w:spacing w:before="240" w:after="240"/>
        <w:rPr>
          <w:lang w:val="en-GB"/>
        </w:rPr>
      </w:pPr>
    </w:p>
    <w:p w14:paraId="3D73DD46" w14:textId="77777777" w:rsidR="0075756F" w:rsidRDefault="00BD3B1B" w:rsidP="0075756F">
      <w:pPr>
        <w:keepNext/>
        <w:spacing w:before="240" w:after="240"/>
      </w:pPr>
      <w:r w:rsidRPr="00E60410">
        <w:rPr>
          <w:noProof/>
          <w:lang w:val="en-GB"/>
        </w:rPr>
        <w:drawing>
          <wp:inline distT="114300" distB="114300" distL="114300" distR="114300" wp14:anchorId="79CD2C26" wp14:editId="4F23B93F">
            <wp:extent cx="5943600" cy="2590800"/>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2"/>
                    <a:srcRect/>
                    <a:stretch>
                      <a:fillRect/>
                    </a:stretch>
                  </pic:blipFill>
                  <pic:spPr>
                    <a:xfrm>
                      <a:off x="0" y="0"/>
                      <a:ext cx="5943600" cy="2590800"/>
                    </a:xfrm>
                    <a:prstGeom prst="rect">
                      <a:avLst/>
                    </a:prstGeom>
                    <a:ln/>
                  </pic:spPr>
                </pic:pic>
              </a:graphicData>
            </a:graphic>
          </wp:inline>
        </w:drawing>
      </w:r>
    </w:p>
    <w:p w14:paraId="00000161" w14:textId="6718319C" w:rsidR="00524B6B" w:rsidRDefault="0075756F" w:rsidP="0075756F">
      <w:pPr>
        <w:pStyle w:val="Caption"/>
      </w:pPr>
      <w:bookmarkStart w:id="22" w:name="_Ref81220391"/>
      <w:r>
        <w:t xml:space="preserve">Figure </w:t>
      </w:r>
      <w:fldSimple w:instr=" SEQ Figure \* ARABIC ">
        <w:r w:rsidR="00B405D3">
          <w:rPr>
            <w:noProof/>
          </w:rPr>
          <w:t>6</w:t>
        </w:r>
      </w:fldSimple>
      <w:bookmarkEnd w:id="22"/>
      <w:r>
        <w:t xml:space="preserve"> oneM2M unites established standards and addresses emerging use-case requirements</w:t>
      </w:r>
    </w:p>
    <w:p w14:paraId="30817171" w14:textId="77777777" w:rsidR="002F7D2C" w:rsidRDefault="002F7D2C" w:rsidP="002F7D2C">
      <w:pPr>
        <w:spacing w:before="240" w:after="240"/>
        <w:rPr>
          <w:lang w:val="en-GB"/>
        </w:rPr>
      </w:pPr>
      <w:r>
        <w:rPr>
          <w:lang w:val="en-GB"/>
        </w:rPr>
        <w:t xml:space="preserve">The left side of this illustration shows how oneM2M standards provides an interworking framework across fixed and mobile communications domains by reusing established device management standards. oneM2M also includes bindings for constrained devices and low data payload communications standards. </w:t>
      </w:r>
    </w:p>
    <w:p w14:paraId="7C26E39C" w14:textId="2876D8FF" w:rsidR="003833D0" w:rsidRDefault="002F7D2C" w:rsidP="002F7D2C">
      <w:pPr>
        <w:spacing w:before="240" w:after="240"/>
        <w:rPr>
          <w:lang w:val="en-GB"/>
        </w:rPr>
      </w:pPr>
      <w:r>
        <w:rPr>
          <w:lang w:val="en-GB"/>
        </w:rPr>
        <w:t xml:space="preserve">The right side of </w:t>
      </w:r>
      <w:r>
        <w:rPr>
          <w:lang w:val="en-GB"/>
        </w:rPr>
        <w:fldChar w:fldCharType="begin"/>
      </w:r>
      <w:r>
        <w:rPr>
          <w:lang w:val="en-GB"/>
        </w:rPr>
        <w:instrText xml:space="preserve"> REF _Ref81220391 \h </w:instrText>
      </w:r>
      <w:r>
        <w:rPr>
          <w:lang w:val="en-GB"/>
        </w:rPr>
      </w:r>
      <w:r>
        <w:rPr>
          <w:lang w:val="en-GB"/>
        </w:rPr>
        <w:fldChar w:fldCharType="separate"/>
      </w:r>
      <w:r w:rsidR="00B405D3">
        <w:t xml:space="preserve">Figure </w:t>
      </w:r>
      <w:r w:rsidR="00B405D3">
        <w:rPr>
          <w:noProof/>
        </w:rPr>
        <w:t>6</w:t>
      </w:r>
      <w:r>
        <w:rPr>
          <w:lang w:val="en-GB"/>
        </w:rPr>
        <w:fldChar w:fldCharType="end"/>
      </w:r>
      <w:r>
        <w:rPr>
          <w:lang w:val="en-GB"/>
        </w:rPr>
        <w:t xml:space="preserve"> highlights the horizontal properties of oneM2M standards and their applicability to several application domains. These include the industrial, home, </w:t>
      </w:r>
      <w:r w:rsidR="003F0EBF">
        <w:rPr>
          <w:lang w:val="en-GB"/>
        </w:rPr>
        <w:t>health,</w:t>
      </w:r>
      <w:r>
        <w:rPr>
          <w:lang w:val="en-GB"/>
        </w:rPr>
        <w:t xml:space="preserve"> and automotive vehicles sectors. As attention in the IoT sector shifts to higher layers of the technology stack, oneM2M standards also address the need to enable data interoperability through semantic approaches. In this regard, oneM2M is compatible with</w:t>
      </w:r>
      <w:r w:rsidR="003833D0">
        <w:rPr>
          <w:lang w:val="en-GB"/>
        </w:rPr>
        <w:t xml:space="preserve"> the SMART Applications Reference ontology </w:t>
      </w:r>
      <w:hyperlink r:id="rId43" w:history="1">
        <w:r w:rsidR="003833D0" w:rsidRPr="003833D0">
          <w:rPr>
            <w:rStyle w:val="Hyperlink"/>
            <w:lang w:val="en-GB"/>
          </w:rPr>
          <w:t>(SAREF)</w:t>
        </w:r>
      </w:hyperlink>
      <w:r>
        <w:rPr>
          <w:lang w:val="en-GB"/>
        </w:rPr>
        <w:t xml:space="preserve"> and supports interworking with the W3C </w:t>
      </w:r>
      <w:r w:rsidR="003833D0">
        <w:rPr>
          <w:lang w:val="en-GB"/>
        </w:rPr>
        <w:t>Web of Things semantic framework.</w:t>
      </w:r>
    </w:p>
    <w:p w14:paraId="00000163" w14:textId="140195A6" w:rsidR="00524B6B" w:rsidRPr="00E60410" w:rsidRDefault="005E0FAB">
      <w:pPr>
        <w:rPr>
          <w:lang w:val="en-GB"/>
        </w:rPr>
      </w:pPr>
      <w:r>
        <w:rPr>
          <w:lang w:val="en-GB"/>
        </w:rPr>
        <w:t xml:space="preserve">The oneM2M architecture and body of technical standards provide a framework to combine legacy and new-build IoT systems. In addition to preserving the value of legacy investments, oneM2M’s standardization roadmap, through planned release cycles, </w:t>
      </w:r>
      <w:r w:rsidR="00C308A8">
        <w:rPr>
          <w:lang w:val="en-GB"/>
        </w:rPr>
        <w:t xml:space="preserve">accommodates </w:t>
      </w:r>
      <w:r>
        <w:rPr>
          <w:lang w:val="en-GB"/>
        </w:rPr>
        <w:t>new requirements</w:t>
      </w:r>
      <w:r w:rsidR="00C308A8">
        <w:rPr>
          <w:lang w:val="en-GB"/>
        </w:rPr>
        <w:t xml:space="preserve">. These can arise </w:t>
      </w:r>
      <w:r>
        <w:rPr>
          <w:lang w:val="en-GB"/>
        </w:rPr>
        <w:t xml:space="preserve">from </w:t>
      </w:r>
      <w:r w:rsidR="00C308A8">
        <w:rPr>
          <w:lang w:val="en-GB"/>
        </w:rPr>
        <w:t xml:space="preserve">the need for </w:t>
      </w:r>
      <w:r>
        <w:rPr>
          <w:lang w:val="en-GB"/>
        </w:rPr>
        <w:t xml:space="preserve">more complex </w:t>
      </w:r>
      <w:r w:rsidR="00C308A8">
        <w:rPr>
          <w:lang w:val="en-GB"/>
        </w:rPr>
        <w:t xml:space="preserve">capabilities, such as requirements to handle data-privacy and data-licensing. The same is true of new </w:t>
      </w:r>
      <w:r>
        <w:rPr>
          <w:lang w:val="en-GB"/>
        </w:rPr>
        <w:t>use-cases</w:t>
      </w:r>
      <w:r w:rsidR="00C308A8">
        <w:rPr>
          <w:lang w:val="en-GB"/>
        </w:rPr>
        <w:t xml:space="preserve">, such a public-safety and vehicle-to-vehicle systems, that arise as different industries embrace IoT solutions more systematically. </w:t>
      </w:r>
      <w:r w:rsidR="00BD3B1B" w:rsidRPr="00E60410">
        <w:rPr>
          <w:lang w:val="en-GB"/>
        </w:rPr>
        <w:br w:type="page"/>
      </w:r>
    </w:p>
    <w:p w14:paraId="00000164" w14:textId="5B9ED3AA" w:rsidR="00524B6B" w:rsidRPr="00E60410" w:rsidRDefault="00BD3B1B">
      <w:pPr>
        <w:pStyle w:val="Heading1"/>
        <w:numPr>
          <w:ilvl w:val="0"/>
          <w:numId w:val="5"/>
        </w:numPr>
        <w:rPr>
          <w:lang w:val="en-GB"/>
        </w:rPr>
      </w:pPr>
      <w:bookmarkStart w:id="23" w:name="_Toc82352552"/>
      <w:r w:rsidRPr="00E60410">
        <w:rPr>
          <w:lang w:val="en-GB"/>
        </w:rPr>
        <w:lastRenderedPageBreak/>
        <w:t>Future Directions</w:t>
      </w:r>
      <w:r w:rsidR="003833D0">
        <w:rPr>
          <w:lang w:val="en-GB"/>
        </w:rPr>
        <w:t xml:space="preserve"> for IoT and Sustainability</w:t>
      </w:r>
      <w:bookmarkEnd w:id="23"/>
    </w:p>
    <w:p w14:paraId="00000165" w14:textId="77777777" w:rsidR="00524B6B" w:rsidRPr="00E60410" w:rsidRDefault="00524B6B">
      <w:pPr>
        <w:rPr>
          <w:lang w:val="en-GB"/>
        </w:rPr>
      </w:pPr>
    </w:p>
    <w:p w14:paraId="00000166" w14:textId="2B0DC672" w:rsidR="00524B6B" w:rsidRPr="00E60410" w:rsidRDefault="00BD3B1B">
      <w:pPr>
        <w:rPr>
          <w:lang w:val="en-GB"/>
        </w:rPr>
      </w:pPr>
      <w:r w:rsidRPr="00E60410">
        <w:rPr>
          <w:lang w:val="en-GB"/>
        </w:rPr>
        <w:t xml:space="preserve">With increasing familiarity about their capabilities, application developers and entrepreneurs will use IoT technologies to </w:t>
      </w:r>
      <w:r w:rsidR="00763FF6">
        <w:rPr>
          <w:lang w:val="en-GB"/>
        </w:rPr>
        <w:t xml:space="preserve">deliver </w:t>
      </w:r>
      <w:r w:rsidRPr="00E60410">
        <w:rPr>
          <w:lang w:val="en-GB"/>
        </w:rPr>
        <w:t xml:space="preserve">new sustainability benefits. The family of IoT technologies will, however, continue to evolve in </w:t>
      </w:r>
      <w:hyperlink r:id="rId44">
        <w:r w:rsidRPr="00E60410">
          <w:rPr>
            <w:color w:val="1155CC"/>
            <w:u w:val="single"/>
            <w:lang w:val="en-GB"/>
          </w:rPr>
          <w:t>many different directions</w:t>
        </w:r>
      </w:hyperlink>
      <w:r w:rsidR="00763FF6">
        <w:rPr>
          <w:lang w:val="en-GB"/>
        </w:rPr>
        <w:t xml:space="preserve"> as new use-cases, business models and associated requirements emerge.</w:t>
      </w:r>
      <w:r w:rsidRPr="00E60410">
        <w:rPr>
          <w:lang w:val="en-GB"/>
        </w:rPr>
        <w:t xml:space="preserve"> Some of these will tackle hardware issues, as in the case of </w:t>
      </w:r>
      <w:hyperlink r:id="rId45" w:history="1">
        <w:r w:rsidRPr="00763FF6">
          <w:rPr>
            <w:rStyle w:val="Hyperlink"/>
            <w:lang w:val="en-GB"/>
          </w:rPr>
          <w:t>low-energy and ‘non-smart’ devices</w:t>
        </w:r>
      </w:hyperlink>
      <w:r w:rsidR="007850B8" w:rsidRPr="00E60410">
        <w:rPr>
          <w:lang w:val="en-GB"/>
        </w:rPr>
        <w:t xml:space="preserve">. Other ideas, drawn from ‘circular economy’ concepts </w:t>
      </w:r>
      <w:r w:rsidR="00763FF6">
        <w:rPr>
          <w:lang w:val="en-GB"/>
        </w:rPr>
        <w:t xml:space="preserve">will entail a </w:t>
      </w:r>
      <w:r w:rsidR="007850B8" w:rsidRPr="00E60410">
        <w:rPr>
          <w:lang w:val="en-GB"/>
        </w:rPr>
        <w:t xml:space="preserve">re-purposing </w:t>
      </w:r>
      <w:r w:rsidR="00763FF6">
        <w:rPr>
          <w:lang w:val="en-GB"/>
        </w:rPr>
        <w:t xml:space="preserve">of </w:t>
      </w:r>
      <w:r w:rsidR="007850B8" w:rsidRPr="00E60410">
        <w:rPr>
          <w:lang w:val="en-GB"/>
        </w:rPr>
        <w:t>long service-life devices via programmatic technologies</w:t>
      </w:r>
      <w:r w:rsidRPr="00E60410">
        <w:rPr>
          <w:lang w:val="en-GB"/>
        </w:rPr>
        <w:t>. Others will involve technologies to reduce network energy usage and to protect IoT systems so that their operations remain resilient.</w:t>
      </w:r>
    </w:p>
    <w:p w14:paraId="00000167" w14:textId="77777777" w:rsidR="00524B6B" w:rsidRPr="00E60410" w:rsidRDefault="00524B6B">
      <w:pPr>
        <w:rPr>
          <w:lang w:val="en-GB"/>
        </w:rPr>
      </w:pPr>
    </w:p>
    <w:p w14:paraId="00000169" w14:textId="12B786F6" w:rsidR="00524B6B" w:rsidRPr="00E60410" w:rsidRDefault="00BD3B1B">
      <w:pPr>
        <w:spacing w:after="240"/>
        <w:rPr>
          <w:lang w:val="en-GB"/>
        </w:rPr>
      </w:pPr>
      <w:r w:rsidRPr="00E60410">
        <w:rPr>
          <w:lang w:val="en-GB"/>
        </w:rPr>
        <w:t xml:space="preserve">At </w:t>
      </w:r>
      <w:r w:rsidR="007850B8" w:rsidRPr="00E60410">
        <w:rPr>
          <w:lang w:val="en-GB"/>
        </w:rPr>
        <w:t>Orange, research</w:t>
      </w:r>
      <w:r w:rsidRPr="00E60410">
        <w:rPr>
          <w:lang w:val="en-GB"/>
        </w:rPr>
        <w:t xml:space="preserve"> teams are working on the design of the concept of ‘no-energy’ connected objects. These self-powered objects rely on renewable sources of energy and communicate by recycling ambient waves. They are detectable by wireless networks and smartphones in their vicinity.</w:t>
      </w:r>
      <w:r w:rsidR="00763FF6">
        <w:rPr>
          <w:lang w:val="en-GB"/>
        </w:rPr>
        <w:t xml:space="preserve"> </w:t>
      </w:r>
      <w:r w:rsidRPr="00E60410">
        <w:rPr>
          <w:lang w:val="en-GB"/>
        </w:rPr>
        <w:t xml:space="preserve">An experimental project involves the concept of a </w:t>
      </w:r>
      <w:hyperlink r:id="rId46">
        <w:r w:rsidRPr="00E60410">
          <w:rPr>
            <w:color w:val="1155CC"/>
            <w:u w:val="single"/>
            <w:lang w:val="en-GB"/>
          </w:rPr>
          <w:t>Crowd-Detectable Zero-Energy-Device (ZED)</w:t>
        </w:r>
      </w:hyperlink>
      <w:r w:rsidRPr="00E60410">
        <w:rPr>
          <w:lang w:val="en-GB"/>
        </w:rPr>
        <w:t xml:space="preserve">. Such a device harvests solar or ambient light energy to power itself, recycles ambient signals to communicate, and is detectable by a smartphone and the </w:t>
      </w:r>
      <w:r w:rsidR="007850B8" w:rsidRPr="00E60410">
        <w:rPr>
          <w:lang w:val="en-GB"/>
        </w:rPr>
        <w:t>network as soon as</w:t>
      </w:r>
      <w:r w:rsidRPr="00E60410">
        <w:rPr>
          <w:lang w:val="en-GB"/>
        </w:rPr>
        <w:t xml:space="preserve"> it gets close to a smartphone. A transport company attaching a ZED on a package can track it with almost nothing: zero power, zero new signal and zero new network infrastructure, thanks to the anonymous participation of smartphones. Indeed, each time the packet comes across a smartphone connected to the network, the package is automatically detected, located and time-stamped by the network.  Prototypes of ZED(s) that reuse ambient TV/4G/5G signals already exist and have been recently demonstrated at the 2021 </w:t>
      </w:r>
      <w:r w:rsidR="00763FF6">
        <w:rPr>
          <w:lang w:val="en-GB"/>
        </w:rPr>
        <w:t>M</w:t>
      </w:r>
      <w:r w:rsidRPr="00E60410">
        <w:rPr>
          <w:lang w:val="en-GB"/>
        </w:rPr>
        <w:t xml:space="preserve">obile </w:t>
      </w:r>
      <w:r w:rsidR="00763FF6">
        <w:rPr>
          <w:lang w:val="en-GB"/>
        </w:rPr>
        <w:t>W</w:t>
      </w:r>
      <w:r w:rsidRPr="00E60410">
        <w:rPr>
          <w:lang w:val="en-GB"/>
        </w:rPr>
        <w:t xml:space="preserve">orld </w:t>
      </w:r>
      <w:r w:rsidR="00763FF6">
        <w:rPr>
          <w:lang w:val="en-GB"/>
        </w:rPr>
        <w:t>C</w:t>
      </w:r>
      <w:r w:rsidRPr="00E60410">
        <w:rPr>
          <w:lang w:val="en-GB"/>
        </w:rPr>
        <w:t>ongress.</w:t>
      </w:r>
    </w:p>
    <w:p w14:paraId="0000016A" w14:textId="2878D0BB" w:rsidR="00524B6B" w:rsidRPr="00E60410" w:rsidRDefault="00BD3B1B">
      <w:pPr>
        <w:spacing w:before="240" w:after="240"/>
        <w:rPr>
          <w:lang w:val="en-GB"/>
        </w:rPr>
      </w:pPr>
      <w:r w:rsidRPr="00E60410">
        <w:rPr>
          <w:lang w:val="en-GB"/>
        </w:rPr>
        <w:t xml:space="preserve">Beyond innovations around self-powered devices, Orange is pursuing other research on optimizing network energy consumption. One approach that is being tested deals with the practice of using double antennas to double a device’s bandwidth capacity. With the new approach, an object sends two messages with one amplifier and one antenna. It sends the first in the usual </w:t>
      </w:r>
      <w:r w:rsidR="007850B8" w:rsidRPr="00E60410">
        <w:rPr>
          <w:lang w:val="en-GB"/>
        </w:rPr>
        <w:t>way but</w:t>
      </w:r>
      <w:r w:rsidRPr="00E60410">
        <w:rPr>
          <w:lang w:val="en-GB"/>
        </w:rPr>
        <w:t xml:space="preserve"> sends the second without sending </w:t>
      </w:r>
      <w:proofErr w:type="spellStart"/>
      <w:r w:rsidRPr="00E60410">
        <w:rPr>
          <w:lang w:val="en-GB"/>
        </w:rPr>
        <w:t>anymore</w:t>
      </w:r>
      <w:proofErr w:type="spellEnd"/>
      <w:r w:rsidRPr="00E60410">
        <w:rPr>
          <w:lang w:val="en-GB"/>
        </w:rPr>
        <w:t xml:space="preserve"> information. Instead, it reconfigures the radiation mode of its antenna. Each mode carries a “meaning” in bits.</w:t>
      </w:r>
    </w:p>
    <w:p w14:paraId="0000016B" w14:textId="61A83F13" w:rsidR="00524B6B" w:rsidRPr="00E60410" w:rsidRDefault="00BD3B1B">
      <w:pPr>
        <w:spacing w:before="240" w:after="240"/>
        <w:rPr>
          <w:lang w:val="en-GB"/>
        </w:rPr>
      </w:pPr>
      <w:r w:rsidRPr="00E60410">
        <w:rPr>
          <w:lang w:val="en-GB"/>
        </w:rPr>
        <w:t xml:space="preserve">IoT is a term that is often associated with connected objects that send and receive data. Another way to think of these objects is as resources that can be used to infer and generate contextual information about the environment. Some of this can take the form of static and dynamic environmental data for parameters such as identity, activity context, behavioural context, physiological context, geographical </w:t>
      </w:r>
      <w:r w:rsidR="00E60410" w:rsidRPr="00E60410">
        <w:rPr>
          <w:lang w:val="en-GB"/>
        </w:rPr>
        <w:t>context,</w:t>
      </w:r>
      <w:r w:rsidRPr="00E60410">
        <w:rPr>
          <w:lang w:val="en-GB"/>
        </w:rPr>
        <w:t xml:space="preserve"> and time context. These are inputs for research projects on context identification by deduction, using IoT types of data related to pressure, temperature, humidity, sound, colour, light, electromagnetic field, angular </w:t>
      </w:r>
      <w:r w:rsidR="00E60410" w:rsidRPr="00E60410">
        <w:rPr>
          <w:lang w:val="en-GB"/>
        </w:rPr>
        <w:t>position,</w:t>
      </w:r>
      <w:r w:rsidRPr="00E60410">
        <w:rPr>
          <w:lang w:val="en-GB"/>
        </w:rPr>
        <w:t xml:space="preserve"> and angular speed. These types of data are useful for merging the physical and digital aspects of everyday environments. Integration gives rise to new areas of ubiquitous, </w:t>
      </w:r>
      <w:r w:rsidR="00E60410" w:rsidRPr="00E60410">
        <w:rPr>
          <w:lang w:val="en-GB"/>
        </w:rPr>
        <w:t>sensitive,</w:t>
      </w:r>
      <w:r w:rsidRPr="00E60410">
        <w:rPr>
          <w:lang w:val="en-GB"/>
        </w:rPr>
        <w:t xml:space="preserve"> and environmental computing as well as new forms of interface between applications and users. </w:t>
      </w:r>
    </w:p>
    <w:p w14:paraId="0000016C" w14:textId="77777777" w:rsidR="00524B6B" w:rsidRPr="00E60410" w:rsidRDefault="00524B6B">
      <w:pPr>
        <w:rPr>
          <w:lang w:val="en-GB"/>
        </w:rPr>
      </w:pPr>
    </w:p>
    <w:p w14:paraId="0000016D" w14:textId="2C64C5FB" w:rsidR="00524B6B" w:rsidRPr="00E60410" w:rsidRDefault="00BD3B1B">
      <w:pPr>
        <w:spacing w:before="240" w:after="240"/>
        <w:jc w:val="both"/>
        <w:rPr>
          <w:lang w:val="en-GB"/>
        </w:rPr>
      </w:pPr>
      <w:r w:rsidRPr="00E60410">
        <w:rPr>
          <w:lang w:val="en-GB"/>
        </w:rPr>
        <w:lastRenderedPageBreak/>
        <w:t xml:space="preserve">Deep integration involving IT (information technology), OT (operational technology) and ET (engineering technology) data from diverse data sources, both from </w:t>
      </w:r>
      <w:r w:rsidR="00763FF6">
        <w:rPr>
          <w:lang w:val="en-GB"/>
        </w:rPr>
        <w:t xml:space="preserve">the </w:t>
      </w:r>
      <w:r w:rsidRPr="00E60410">
        <w:rPr>
          <w:lang w:val="en-GB"/>
        </w:rPr>
        <w:t xml:space="preserve">Plant layer (real time data) and from </w:t>
      </w:r>
      <w:r w:rsidR="00763FF6">
        <w:rPr>
          <w:lang w:val="en-GB"/>
        </w:rPr>
        <w:t xml:space="preserve">the </w:t>
      </w:r>
      <w:r w:rsidRPr="00E60410">
        <w:rPr>
          <w:lang w:val="en-GB"/>
        </w:rPr>
        <w:t>Enterprise layer (transactional data) allows for remote monitoring and management. However, common data model compliant interfaces, ensuring the definition comply with data model standards in terms of semantics, syntax and relationship becomes vital.</w:t>
      </w:r>
      <w:r w:rsidR="00763FF6">
        <w:rPr>
          <w:lang w:val="en-GB"/>
        </w:rPr>
        <w:t xml:space="preserve"> This is where open standardization becomes a powerful tool for the IoT ecosystem and their partners in different industry verticals. </w:t>
      </w:r>
    </w:p>
    <w:p w14:paraId="0000016E" w14:textId="25C13777" w:rsidR="00524B6B" w:rsidRPr="00E60410" w:rsidRDefault="00BD3B1B" w:rsidP="007850B8">
      <w:pPr>
        <w:rPr>
          <w:lang w:val="en-GB"/>
        </w:rPr>
      </w:pPr>
      <w:r w:rsidRPr="00E60410">
        <w:rPr>
          <w:lang w:val="en-GB"/>
        </w:rPr>
        <w:t>Cybersecure interoperability is an important characteristic for a sustainable architecture, one that is scalable, modular, reusable and securely performing. Typical IT-OT convergence results in multiple applications connecting to multiple silos of data sources. In such cases a common services framework shall help in a sustainable architecture, both in terms of quality and economics.</w:t>
      </w:r>
      <w:r w:rsidR="007850B8" w:rsidRPr="00E60410">
        <w:rPr>
          <w:lang w:val="en-GB"/>
        </w:rPr>
        <w:t xml:space="preserve"> Security is also a concern because of the potential for I</w:t>
      </w:r>
      <w:r w:rsidR="00763FF6">
        <w:rPr>
          <w:lang w:val="en-GB"/>
        </w:rPr>
        <w:t>o</w:t>
      </w:r>
      <w:r w:rsidR="007850B8" w:rsidRPr="00E60410">
        <w:rPr>
          <w:lang w:val="en-GB"/>
        </w:rPr>
        <w:t xml:space="preserve">T systems to expose new threat services. Left unprotected, vulnerabilities could be exploited in ways that would </w:t>
      </w:r>
      <w:r w:rsidR="00E60410" w:rsidRPr="00E60410">
        <w:rPr>
          <w:lang w:val="en-GB"/>
        </w:rPr>
        <w:t>waste</w:t>
      </w:r>
      <w:r w:rsidR="007850B8" w:rsidRPr="00E60410">
        <w:rPr>
          <w:lang w:val="en-GB"/>
        </w:rPr>
        <w:t xml:space="preserve"> resources.</w:t>
      </w:r>
      <w:r w:rsidRPr="00E60410">
        <w:rPr>
          <w:lang w:val="en-GB"/>
        </w:rPr>
        <w:br w:type="page"/>
      </w:r>
    </w:p>
    <w:p w14:paraId="0000016F" w14:textId="53049E3D" w:rsidR="00524B6B" w:rsidRPr="00E60410" w:rsidRDefault="0029498B">
      <w:pPr>
        <w:pStyle w:val="Heading1"/>
        <w:numPr>
          <w:ilvl w:val="0"/>
          <w:numId w:val="5"/>
        </w:numPr>
        <w:rPr>
          <w:lang w:val="en-GB"/>
        </w:rPr>
      </w:pPr>
      <w:bookmarkStart w:id="24" w:name="_Toc82352553"/>
      <w:r>
        <w:rPr>
          <w:lang w:val="en-GB"/>
        </w:rPr>
        <w:lastRenderedPageBreak/>
        <w:t>Contributors</w:t>
      </w:r>
      <w:bookmarkEnd w:id="24"/>
    </w:p>
    <w:p w14:paraId="0000017A" w14:textId="77777777" w:rsidR="00524B6B" w:rsidRPr="00E60410" w:rsidRDefault="00524B6B">
      <w:pPr>
        <w:rPr>
          <w:lang w:val="en-GB"/>
        </w:rPr>
      </w:pPr>
    </w:p>
    <w:p w14:paraId="0F9CF060" w14:textId="2D7EB2B3" w:rsidR="001B18BD" w:rsidRPr="001B18BD" w:rsidRDefault="001B18BD" w:rsidP="001B18BD">
      <w:pPr>
        <w:rPr>
          <w:lang w:val="en-GB"/>
        </w:rPr>
      </w:pPr>
      <w:r>
        <w:rPr>
          <w:lang w:val="en-GB"/>
        </w:rPr>
        <w:t xml:space="preserve">oneM2M thanks the following for their contributions </w:t>
      </w:r>
      <w:r w:rsidR="003C13F9">
        <w:rPr>
          <w:lang w:val="en-GB"/>
        </w:rPr>
        <w:t xml:space="preserve">and insights </w:t>
      </w:r>
      <w:r>
        <w:rPr>
          <w:lang w:val="en-GB"/>
        </w:rPr>
        <w:t>to this White Paper.</w:t>
      </w:r>
    </w:p>
    <w:p w14:paraId="0000017C" w14:textId="073DC352" w:rsidR="00524B6B" w:rsidRPr="00E60410" w:rsidRDefault="00524B6B">
      <w:pPr>
        <w:rPr>
          <w:lang w:val="en-GB"/>
        </w:rPr>
      </w:pPr>
    </w:p>
    <w:tbl>
      <w:tblPr>
        <w:tblStyle w:val="TableGrid"/>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single" w:sz="4" w:space="0" w:color="A6A6A6" w:themeColor="background1" w:themeShade="A6"/>
          <w:insideV w:val="none" w:sz="0" w:space="0" w:color="auto"/>
        </w:tblBorders>
        <w:tblLook w:val="04A0" w:firstRow="1" w:lastRow="0" w:firstColumn="1" w:lastColumn="0" w:noHBand="0" w:noVBand="1"/>
      </w:tblPr>
      <w:tblGrid>
        <w:gridCol w:w="2425"/>
        <w:gridCol w:w="4055"/>
        <w:gridCol w:w="2870"/>
      </w:tblGrid>
      <w:tr w:rsidR="001B18BD" w14:paraId="002719D2" w14:textId="77777777" w:rsidTr="0029498B">
        <w:tc>
          <w:tcPr>
            <w:tcW w:w="2425" w:type="dxa"/>
          </w:tcPr>
          <w:p w14:paraId="0CB2F43C" w14:textId="2679D002" w:rsidR="001B18BD" w:rsidRDefault="001B18BD" w:rsidP="001B18BD">
            <w:pPr>
              <w:spacing w:before="60" w:after="60"/>
              <w:rPr>
                <w:lang w:val="en-GB"/>
              </w:rPr>
            </w:pPr>
            <w:r w:rsidRPr="00E60410">
              <w:rPr>
                <w:lang w:val="en-GB"/>
              </w:rPr>
              <w:t>Klaus Grobe</w:t>
            </w:r>
          </w:p>
        </w:tc>
        <w:tc>
          <w:tcPr>
            <w:tcW w:w="4055" w:type="dxa"/>
          </w:tcPr>
          <w:p w14:paraId="48506BE7" w14:textId="303D6C7F" w:rsidR="001B18BD" w:rsidRDefault="001B18BD" w:rsidP="001B18BD">
            <w:pPr>
              <w:spacing w:before="60" w:after="60"/>
              <w:rPr>
                <w:lang w:val="en-GB"/>
              </w:rPr>
            </w:pPr>
            <w:r w:rsidRPr="00E60410">
              <w:rPr>
                <w:lang w:val="en-GB"/>
              </w:rPr>
              <w:t>Senior Director of Sustainability</w:t>
            </w:r>
          </w:p>
        </w:tc>
        <w:tc>
          <w:tcPr>
            <w:tcW w:w="2870" w:type="dxa"/>
          </w:tcPr>
          <w:p w14:paraId="5048490B" w14:textId="507AE017" w:rsidR="001B18BD" w:rsidRDefault="001B18BD" w:rsidP="001B18BD">
            <w:pPr>
              <w:spacing w:before="60" w:after="60"/>
              <w:rPr>
                <w:lang w:val="en-GB"/>
              </w:rPr>
            </w:pPr>
            <w:r w:rsidRPr="00E60410">
              <w:rPr>
                <w:lang w:val="en-GB"/>
              </w:rPr>
              <w:t>ADVA</w:t>
            </w:r>
          </w:p>
        </w:tc>
      </w:tr>
      <w:tr w:rsidR="00DF5BE1" w14:paraId="13A9F69B" w14:textId="77777777" w:rsidTr="0029498B">
        <w:tc>
          <w:tcPr>
            <w:tcW w:w="2425" w:type="dxa"/>
          </w:tcPr>
          <w:p w14:paraId="42EA8F76" w14:textId="6B392FBB" w:rsidR="00DF5BE1" w:rsidRPr="00E60410" w:rsidRDefault="00DF5BE1" w:rsidP="001B18BD">
            <w:pPr>
              <w:spacing w:before="60" w:after="60"/>
              <w:rPr>
                <w:lang w:val="en-GB"/>
              </w:rPr>
            </w:pPr>
            <w:r w:rsidRPr="00DF5BE1">
              <w:rPr>
                <w:lang w:val="en-GB"/>
              </w:rPr>
              <w:t>Damir Filipovic</w:t>
            </w:r>
          </w:p>
        </w:tc>
        <w:tc>
          <w:tcPr>
            <w:tcW w:w="4055" w:type="dxa"/>
          </w:tcPr>
          <w:p w14:paraId="3B8E6B86" w14:textId="2B5A1AC4" w:rsidR="00DF5BE1" w:rsidRPr="00E60410" w:rsidRDefault="00DF5BE1" w:rsidP="001B18BD">
            <w:pPr>
              <w:spacing w:before="60" w:after="60"/>
              <w:rPr>
                <w:lang w:val="en-GB"/>
              </w:rPr>
            </w:pPr>
            <w:r w:rsidRPr="00DF5BE1">
              <w:rPr>
                <w:lang w:val="en-GB"/>
              </w:rPr>
              <w:t>Secretary General</w:t>
            </w:r>
          </w:p>
        </w:tc>
        <w:tc>
          <w:tcPr>
            <w:tcW w:w="2870" w:type="dxa"/>
          </w:tcPr>
          <w:p w14:paraId="61BFBC5C" w14:textId="3AC1959D" w:rsidR="00DF5BE1" w:rsidRDefault="00DF5BE1" w:rsidP="001B18BD">
            <w:pPr>
              <w:spacing w:before="60" w:after="60"/>
              <w:rPr>
                <w:lang w:val="en-GB"/>
              </w:rPr>
            </w:pPr>
            <w:r w:rsidRPr="00DF5BE1">
              <w:rPr>
                <w:lang w:val="en-GB"/>
              </w:rPr>
              <w:t>Alliance for Internet of Things Innovation (AIOTI)</w:t>
            </w:r>
          </w:p>
        </w:tc>
      </w:tr>
      <w:tr w:rsidR="00DF5BE1" w14:paraId="0AF964E9" w14:textId="77777777" w:rsidTr="0029498B">
        <w:tc>
          <w:tcPr>
            <w:tcW w:w="2425" w:type="dxa"/>
          </w:tcPr>
          <w:p w14:paraId="435802C3" w14:textId="69E0DA2D" w:rsidR="00DF5BE1" w:rsidRPr="00E60410" w:rsidRDefault="00DF5BE1" w:rsidP="001B18BD">
            <w:pPr>
              <w:spacing w:before="60" w:after="60"/>
              <w:rPr>
                <w:lang w:val="en-GB"/>
              </w:rPr>
            </w:pPr>
            <w:r w:rsidRPr="00DF5BE1">
              <w:rPr>
                <w:lang w:val="en-GB"/>
              </w:rPr>
              <w:t>Georgios Karagiannis</w:t>
            </w:r>
          </w:p>
        </w:tc>
        <w:tc>
          <w:tcPr>
            <w:tcW w:w="4055" w:type="dxa"/>
          </w:tcPr>
          <w:p w14:paraId="226EC21E" w14:textId="22C0BF4B" w:rsidR="00DF5BE1" w:rsidRPr="00E60410" w:rsidRDefault="00DF5BE1" w:rsidP="001B18BD">
            <w:pPr>
              <w:spacing w:before="60" w:after="60"/>
              <w:rPr>
                <w:lang w:val="en-GB"/>
              </w:rPr>
            </w:pPr>
            <w:r w:rsidRPr="00DF5BE1">
              <w:rPr>
                <w:lang w:val="en-GB"/>
              </w:rPr>
              <w:t>Chairman of Standardisation Group</w:t>
            </w:r>
          </w:p>
        </w:tc>
        <w:tc>
          <w:tcPr>
            <w:tcW w:w="2870" w:type="dxa"/>
          </w:tcPr>
          <w:p w14:paraId="0E19B31F" w14:textId="577759B7" w:rsidR="00DF5BE1" w:rsidRDefault="00DF5BE1" w:rsidP="001B18BD">
            <w:pPr>
              <w:spacing w:before="60" w:after="60"/>
              <w:rPr>
                <w:lang w:val="en-GB"/>
              </w:rPr>
            </w:pPr>
            <w:r w:rsidRPr="00DF5BE1">
              <w:rPr>
                <w:lang w:val="en-GB"/>
              </w:rPr>
              <w:t>Alliance for Internet of Things Innovation (AIOTI) / Huawei</w:t>
            </w:r>
          </w:p>
        </w:tc>
      </w:tr>
      <w:tr w:rsidR="001B18BD" w14:paraId="4AF7B1C4" w14:textId="77777777" w:rsidTr="0029498B">
        <w:tc>
          <w:tcPr>
            <w:tcW w:w="2425" w:type="dxa"/>
          </w:tcPr>
          <w:p w14:paraId="77163333" w14:textId="34940370" w:rsidR="001B18BD" w:rsidRDefault="001B18BD" w:rsidP="001B18BD">
            <w:pPr>
              <w:spacing w:before="60" w:after="60"/>
              <w:rPr>
                <w:lang w:val="en-GB"/>
              </w:rPr>
            </w:pPr>
            <w:r w:rsidRPr="00E60410">
              <w:rPr>
                <w:lang w:val="en-GB"/>
              </w:rPr>
              <w:t>Dale Seed</w:t>
            </w:r>
          </w:p>
        </w:tc>
        <w:tc>
          <w:tcPr>
            <w:tcW w:w="4055" w:type="dxa"/>
          </w:tcPr>
          <w:p w14:paraId="29B72849" w14:textId="10045861" w:rsidR="001B18BD" w:rsidRDefault="001B18BD" w:rsidP="001B18BD">
            <w:pPr>
              <w:spacing w:before="60" w:after="60"/>
              <w:rPr>
                <w:lang w:val="en-GB"/>
              </w:rPr>
            </w:pPr>
            <w:r w:rsidRPr="00E60410">
              <w:rPr>
                <w:lang w:val="en-GB"/>
              </w:rPr>
              <w:t>Principal Engineer</w:t>
            </w:r>
          </w:p>
        </w:tc>
        <w:tc>
          <w:tcPr>
            <w:tcW w:w="2870" w:type="dxa"/>
          </w:tcPr>
          <w:p w14:paraId="72914B03" w14:textId="2EF7E6CB" w:rsidR="001B18BD" w:rsidRDefault="001B18BD" w:rsidP="001B18BD">
            <w:pPr>
              <w:spacing w:before="60" w:after="60"/>
              <w:rPr>
                <w:lang w:val="en-GB"/>
              </w:rPr>
            </w:pPr>
            <w:r>
              <w:rPr>
                <w:lang w:val="en-GB"/>
              </w:rPr>
              <w:t>Convida Wireless</w:t>
            </w:r>
          </w:p>
        </w:tc>
      </w:tr>
      <w:tr w:rsidR="001B18BD" w14:paraId="45C32758" w14:textId="77777777" w:rsidTr="0029498B">
        <w:tc>
          <w:tcPr>
            <w:tcW w:w="2425" w:type="dxa"/>
          </w:tcPr>
          <w:p w14:paraId="1B6B99D3" w14:textId="25614D19" w:rsidR="001B18BD" w:rsidRDefault="001B18BD" w:rsidP="001B18BD">
            <w:pPr>
              <w:spacing w:before="60" w:after="60"/>
              <w:rPr>
                <w:lang w:val="en-GB"/>
              </w:rPr>
            </w:pPr>
            <w:r w:rsidRPr="00E60410">
              <w:rPr>
                <w:lang w:val="en-GB"/>
              </w:rPr>
              <w:t>Ariane Fuchs</w:t>
            </w:r>
          </w:p>
        </w:tc>
        <w:tc>
          <w:tcPr>
            <w:tcW w:w="4055" w:type="dxa"/>
          </w:tcPr>
          <w:p w14:paraId="09F90388" w14:textId="06DA700A" w:rsidR="001B18BD" w:rsidRDefault="001B18BD" w:rsidP="001B18BD">
            <w:pPr>
              <w:spacing w:before="60" w:after="60"/>
              <w:rPr>
                <w:lang w:val="en-GB"/>
              </w:rPr>
            </w:pPr>
            <w:r w:rsidRPr="00E60410">
              <w:rPr>
                <w:lang w:val="en-GB"/>
              </w:rPr>
              <w:t>Marketing Manager</w:t>
            </w:r>
          </w:p>
        </w:tc>
        <w:tc>
          <w:tcPr>
            <w:tcW w:w="2870" w:type="dxa"/>
          </w:tcPr>
          <w:p w14:paraId="31091DA6" w14:textId="53144D4D" w:rsidR="001B18BD" w:rsidRDefault="001B18BD" w:rsidP="001B18BD">
            <w:pPr>
              <w:spacing w:before="60" w:after="60"/>
              <w:rPr>
                <w:lang w:val="en-GB"/>
              </w:rPr>
            </w:pPr>
            <w:r w:rsidRPr="00E60410">
              <w:rPr>
                <w:lang w:val="en-GB"/>
              </w:rPr>
              <w:t>Deutsche Telekom IoT</w:t>
            </w:r>
          </w:p>
        </w:tc>
      </w:tr>
      <w:tr w:rsidR="001B18BD" w14:paraId="12EC02BA" w14:textId="77777777" w:rsidTr="0029498B">
        <w:tc>
          <w:tcPr>
            <w:tcW w:w="2425" w:type="dxa"/>
          </w:tcPr>
          <w:p w14:paraId="13011305" w14:textId="05CFC166" w:rsidR="001B18BD" w:rsidRPr="00E60410" w:rsidRDefault="001B18BD" w:rsidP="001B18BD">
            <w:pPr>
              <w:spacing w:before="60" w:after="60"/>
              <w:rPr>
                <w:lang w:val="en-GB"/>
              </w:rPr>
            </w:pPr>
            <w:r w:rsidRPr="00E60410">
              <w:rPr>
                <w:lang w:val="en-GB"/>
              </w:rPr>
              <w:t>Ken Figueredo</w:t>
            </w:r>
          </w:p>
        </w:tc>
        <w:tc>
          <w:tcPr>
            <w:tcW w:w="4055" w:type="dxa"/>
          </w:tcPr>
          <w:p w14:paraId="2B43703F" w14:textId="6B9AB12B" w:rsidR="001B18BD" w:rsidRPr="00E60410" w:rsidRDefault="001B18BD" w:rsidP="001B18BD">
            <w:pPr>
              <w:spacing w:before="60" w:after="60"/>
              <w:rPr>
                <w:lang w:val="en-GB"/>
              </w:rPr>
            </w:pPr>
            <w:r>
              <w:rPr>
                <w:lang w:val="en-GB"/>
              </w:rPr>
              <w:t>Advisor</w:t>
            </w:r>
            <w:r w:rsidR="001A3D8A">
              <w:rPr>
                <w:lang w:val="en-GB"/>
              </w:rPr>
              <w:t xml:space="preserve"> and White Paper Editor</w:t>
            </w:r>
          </w:p>
        </w:tc>
        <w:tc>
          <w:tcPr>
            <w:tcW w:w="2870" w:type="dxa"/>
          </w:tcPr>
          <w:p w14:paraId="5535FB06" w14:textId="1377D424" w:rsidR="001B18BD" w:rsidRPr="00E60410" w:rsidRDefault="001B18BD" w:rsidP="001B18BD">
            <w:pPr>
              <w:spacing w:before="60" w:after="60"/>
              <w:rPr>
                <w:lang w:val="en-GB"/>
              </w:rPr>
            </w:pPr>
            <w:r w:rsidRPr="00E60410">
              <w:rPr>
                <w:lang w:val="en-GB"/>
              </w:rPr>
              <w:t>More-with-Mobile</w:t>
            </w:r>
          </w:p>
        </w:tc>
      </w:tr>
      <w:tr w:rsidR="001B18BD" w14:paraId="50D1A397" w14:textId="77777777" w:rsidTr="0029498B">
        <w:tc>
          <w:tcPr>
            <w:tcW w:w="2425" w:type="dxa"/>
          </w:tcPr>
          <w:p w14:paraId="78DC717C" w14:textId="0AA5DB39" w:rsidR="001B18BD" w:rsidRPr="00E60410" w:rsidRDefault="001B18BD" w:rsidP="001B18BD">
            <w:pPr>
              <w:spacing w:before="60" w:after="60"/>
              <w:rPr>
                <w:lang w:val="en-GB"/>
              </w:rPr>
            </w:pPr>
            <w:r w:rsidRPr="00E60410">
              <w:rPr>
                <w:lang w:val="en-GB"/>
              </w:rPr>
              <w:t>Marianne Mohali</w:t>
            </w:r>
          </w:p>
        </w:tc>
        <w:tc>
          <w:tcPr>
            <w:tcW w:w="4055" w:type="dxa"/>
          </w:tcPr>
          <w:p w14:paraId="3BFAA8B2" w14:textId="4215AE36" w:rsidR="001B18BD" w:rsidRDefault="001B18BD" w:rsidP="001B18BD">
            <w:pPr>
              <w:spacing w:before="60" w:after="60"/>
              <w:rPr>
                <w:lang w:val="en-GB"/>
              </w:rPr>
            </w:pPr>
            <w:r w:rsidRPr="00E60410">
              <w:rPr>
                <w:lang w:val="en-GB"/>
              </w:rPr>
              <w:t>IoT Standardization Manager</w:t>
            </w:r>
          </w:p>
        </w:tc>
        <w:tc>
          <w:tcPr>
            <w:tcW w:w="2870" w:type="dxa"/>
          </w:tcPr>
          <w:p w14:paraId="1A2677E1" w14:textId="5BE779E0" w:rsidR="001B18BD" w:rsidRPr="00E60410" w:rsidRDefault="001B18BD" w:rsidP="001B18BD">
            <w:pPr>
              <w:spacing w:before="60" w:after="60"/>
              <w:rPr>
                <w:lang w:val="en-GB"/>
              </w:rPr>
            </w:pPr>
            <w:r>
              <w:rPr>
                <w:lang w:val="en-GB"/>
              </w:rPr>
              <w:t>Orange</w:t>
            </w:r>
          </w:p>
        </w:tc>
      </w:tr>
      <w:tr w:rsidR="001B18BD" w14:paraId="4FFD3791" w14:textId="77777777" w:rsidTr="0029498B">
        <w:tc>
          <w:tcPr>
            <w:tcW w:w="2425" w:type="dxa"/>
          </w:tcPr>
          <w:p w14:paraId="07EAB6BE" w14:textId="11182767" w:rsidR="001B18BD" w:rsidRPr="00E60410" w:rsidRDefault="001B18BD" w:rsidP="001B18BD">
            <w:pPr>
              <w:spacing w:before="60" w:after="60"/>
              <w:rPr>
                <w:lang w:val="en-GB"/>
              </w:rPr>
            </w:pPr>
            <w:r w:rsidRPr="001B18BD">
              <w:rPr>
                <w:szCs w:val="20"/>
              </w:rPr>
              <w:t xml:space="preserve">Anand </w:t>
            </w:r>
            <w:proofErr w:type="spellStart"/>
            <w:r w:rsidRPr="001B18BD">
              <w:rPr>
                <w:szCs w:val="20"/>
              </w:rPr>
              <w:t>Sampathraman</w:t>
            </w:r>
            <w:proofErr w:type="spellEnd"/>
          </w:p>
        </w:tc>
        <w:tc>
          <w:tcPr>
            <w:tcW w:w="4055" w:type="dxa"/>
          </w:tcPr>
          <w:p w14:paraId="52715297" w14:textId="65DD5C1E" w:rsidR="001B18BD" w:rsidRPr="00E60410" w:rsidRDefault="001B18BD" w:rsidP="001B18BD">
            <w:pPr>
              <w:spacing w:before="60" w:after="60"/>
              <w:rPr>
                <w:lang w:val="en-GB"/>
              </w:rPr>
            </w:pPr>
            <w:r w:rsidRPr="001B18BD">
              <w:rPr>
                <w:szCs w:val="20"/>
              </w:rPr>
              <w:t>Director, Sustainability &amp; Industrial Internet</w:t>
            </w:r>
            <w:r>
              <w:rPr>
                <w:szCs w:val="20"/>
              </w:rPr>
              <w:t xml:space="preserve">, </w:t>
            </w:r>
            <w:r w:rsidRPr="001B18BD">
              <w:rPr>
                <w:szCs w:val="20"/>
                <w:lang w:val="en-SG" w:eastAsia="en-SG"/>
              </w:rPr>
              <w:t>Asia Pacific</w:t>
            </w:r>
          </w:p>
        </w:tc>
        <w:tc>
          <w:tcPr>
            <w:tcW w:w="2870" w:type="dxa"/>
          </w:tcPr>
          <w:p w14:paraId="607A5434" w14:textId="118DCCA5" w:rsidR="001B18BD" w:rsidRDefault="001B18BD" w:rsidP="001B18BD">
            <w:pPr>
              <w:spacing w:before="60" w:after="60"/>
              <w:rPr>
                <w:lang w:val="en-GB"/>
              </w:rPr>
            </w:pPr>
            <w:r w:rsidRPr="001B18BD">
              <w:rPr>
                <w:szCs w:val="20"/>
              </w:rPr>
              <w:t>Tata Consultancy Services</w:t>
            </w:r>
          </w:p>
        </w:tc>
      </w:tr>
      <w:tr w:rsidR="001B18BD" w14:paraId="066AFBF7" w14:textId="77777777" w:rsidTr="0029498B">
        <w:tc>
          <w:tcPr>
            <w:tcW w:w="2425" w:type="dxa"/>
          </w:tcPr>
          <w:p w14:paraId="015698C0" w14:textId="6EB5EA83" w:rsidR="001B18BD" w:rsidRPr="001B18BD" w:rsidRDefault="001B18BD" w:rsidP="001B18BD">
            <w:pPr>
              <w:spacing w:before="60" w:after="60"/>
              <w:rPr>
                <w:szCs w:val="20"/>
              </w:rPr>
            </w:pPr>
            <w:r w:rsidRPr="001B18BD">
              <w:rPr>
                <w:szCs w:val="20"/>
              </w:rPr>
              <w:t>Dr Swati Murthy</w:t>
            </w:r>
          </w:p>
        </w:tc>
        <w:tc>
          <w:tcPr>
            <w:tcW w:w="4055" w:type="dxa"/>
          </w:tcPr>
          <w:p w14:paraId="722EBF9C" w14:textId="1189AE43" w:rsidR="001B18BD" w:rsidRPr="001B18BD" w:rsidRDefault="001B18BD" w:rsidP="001B18BD">
            <w:pPr>
              <w:spacing w:before="60" w:after="60"/>
              <w:rPr>
                <w:szCs w:val="20"/>
              </w:rPr>
            </w:pPr>
            <w:r w:rsidRPr="001B18BD">
              <w:rPr>
                <w:szCs w:val="20"/>
              </w:rPr>
              <w:t>Consulting Partner and Practice Head - Sustainability and Energy</w:t>
            </w:r>
          </w:p>
        </w:tc>
        <w:tc>
          <w:tcPr>
            <w:tcW w:w="2870" w:type="dxa"/>
          </w:tcPr>
          <w:p w14:paraId="0679B6EB" w14:textId="07F09C9A" w:rsidR="001B18BD" w:rsidRDefault="001B18BD" w:rsidP="001B18BD">
            <w:pPr>
              <w:spacing w:before="60" w:after="60"/>
              <w:rPr>
                <w:lang w:val="en-GB"/>
              </w:rPr>
            </w:pPr>
            <w:r w:rsidRPr="001B18BD">
              <w:rPr>
                <w:szCs w:val="20"/>
              </w:rPr>
              <w:t>Tata Consultancy Services</w:t>
            </w:r>
          </w:p>
        </w:tc>
      </w:tr>
      <w:tr w:rsidR="001B18BD" w14:paraId="276AAF6F" w14:textId="77777777" w:rsidTr="0029498B">
        <w:tc>
          <w:tcPr>
            <w:tcW w:w="2425" w:type="dxa"/>
          </w:tcPr>
          <w:p w14:paraId="59D52364" w14:textId="07A45493" w:rsidR="001B18BD" w:rsidRPr="001B18BD" w:rsidRDefault="001B18BD" w:rsidP="001B18BD">
            <w:pPr>
              <w:spacing w:before="60" w:after="60"/>
              <w:rPr>
                <w:szCs w:val="20"/>
              </w:rPr>
            </w:pPr>
            <w:r w:rsidRPr="001B18BD">
              <w:rPr>
                <w:szCs w:val="20"/>
                <w:lang w:val="en-SG" w:eastAsia="en-SG"/>
              </w:rPr>
              <w:t>Shveta Bhardwaj</w:t>
            </w:r>
          </w:p>
        </w:tc>
        <w:tc>
          <w:tcPr>
            <w:tcW w:w="4055" w:type="dxa"/>
          </w:tcPr>
          <w:p w14:paraId="60BB8DFD" w14:textId="2476FF05" w:rsidR="001B18BD" w:rsidRPr="001B18BD" w:rsidRDefault="001B18BD" w:rsidP="001B18BD">
            <w:pPr>
              <w:spacing w:before="60" w:after="60"/>
              <w:rPr>
                <w:szCs w:val="20"/>
              </w:rPr>
            </w:pPr>
            <w:r w:rsidRPr="001B18BD">
              <w:rPr>
                <w:szCs w:val="20"/>
                <w:lang w:val="en-SG" w:eastAsia="en-SG"/>
              </w:rPr>
              <w:t>Strategic Consultant, Asia Pacific President’s Office</w:t>
            </w:r>
          </w:p>
        </w:tc>
        <w:tc>
          <w:tcPr>
            <w:tcW w:w="2870" w:type="dxa"/>
          </w:tcPr>
          <w:p w14:paraId="16431AE0" w14:textId="34B47E70" w:rsidR="001B18BD" w:rsidRDefault="001B18BD" w:rsidP="001B18BD">
            <w:pPr>
              <w:spacing w:before="60" w:after="60"/>
              <w:rPr>
                <w:lang w:val="en-GB"/>
              </w:rPr>
            </w:pPr>
            <w:r w:rsidRPr="001B18BD">
              <w:rPr>
                <w:szCs w:val="20"/>
              </w:rPr>
              <w:t>Tata Consultancy Services</w:t>
            </w:r>
          </w:p>
        </w:tc>
      </w:tr>
    </w:tbl>
    <w:p w14:paraId="4DA08554" w14:textId="77777777" w:rsidR="001B18BD" w:rsidRPr="00E60410" w:rsidRDefault="001B18BD">
      <w:pPr>
        <w:rPr>
          <w:lang w:val="en-GB"/>
        </w:rPr>
      </w:pPr>
    </w:p>
    <w:p w14:paraId="3E60F98D" w14:textId="29525AC9" w:rsidR="003C13F9" w:rsidRDefault="003C13F9" w:rsidP="003C13F9">
      <w:pPr>
        <w:rPr>
          <w:lang w:val="en-GB"/>
        </w:rPr>
      </w:pPr>
    </w:p>
    <w:p w14:paraId="00DCF255" w14:textId="77777777" w:rsidR="003C13F9" w:rsidRDefault="003C13F9">
      <w:pPr>
        <w:rPr>
          <w:lang w:val="en-GB"/>
        </w:rPr>
      </w:pPr>
    </w:p>
    <w:p w14:paraId="1A646A31" w14:textId="2217114E" w:rsidR="003C13F9" w:rsidRDefault="003C13F9" w:rsidP="003C13F9">
      <w:pPr>
        <w:rPr>
          <w:lang w:val="en-GB"/>
        </w:rPr>
      </w:pPr>
    </w:p>
    <w:p w14:paraId="69FF9E72" w14:textId="0E6E75B3" w:rsidR="00E16A7A" w:rsidRDefault="00E16A7A" w:rsidP="003C13F9">
      <w:pPr>
        <w:rPr>
          <w:lang w:val="en-GB"/>
        </w:rPr>
      </w:pPr>
    </w:p>
    <w:p w14:paraId="3EA6184A" w14:textId="04FE9492" w:rsidR="00E16A7A" w:rsidRDefault="00E16A7A" w:rsidP="003C13F9">
      <w:pPr>
        <w:rPr>
          <w:lang w:val="en-GB"/>
        </w:rPr>
      </w:pPr>
    </w:p>
    <w:p w14:paraId="60BAF92E" w14:textId="7FF64F92" w:rsidR="003C13F9" w:rsidRDefault="003C13F9" w:rsidP="003C13F9">
      <w:pPr>
        <w:rPr>
          <w:lang w:val="en-GB"/>
        </w:rPr>
      </w:pPr>
    </w:p>
    <w:p w14:paraId="27578987" w14:textId="77777777" w:rsidR="003C13F9" w:rsidRPr="00290FBA" w:rsidRDefault="003C13F9" w:rsidP="00290FBA">
      <w:pPr>
        <w:rPr>
          <w:lang w:val="en-GB"/>
        </w:rPr>
      </w:pPr>
    </w:p>
    <w:p w14:paraId="00000188" w14:textId="74808F37" w:rsidR="00524B6B" w:rsidRDefault="00524B6B">
      <w:pPr>
        <w:rPr>
          <w:lang w:val="en-GB"/>
        </w:rPr>
      </w:pPr>
    </w:p>
    <w:p w14:paraId="294C8ECF" w14:textId="77777777" w:rsidR="003C13F9" w:rsidRPr="00290FBA" w:rsidRDefault="003C13F9" w:rsidP="003C13F9">
      <w:pPr>
        <w:pBdr>
          <w:top w:val="single" w:sz="4" w:space="1" w:color="auto"/>
        </w:pBdr>
        <w:rPr>
          <w:sz w:val="18"/>
          <w:szCs w:val="18"/>
          <w:lang w:val="en-GB"/>
        </w:rPr>
      </w:pPr>
      <w:r w:rsidRPr="00290FBA">
        <w:rPr>
          <w:sz w:val="18"/>
          <w:szCs w:val="18"/>
          <w:lang w:val="en-GB"/>
        </w:rPr>
        <w:t>This White Paper is issued for information only. It does not constitute an official or agreed position of oneM2M, nor of its Members. The views expressed are entirely those of the author(s).</w:t>
      </w:r>
    </w:p>
    <w:p w14:paraId="790F70EB" w14:textId="77777777" w:rsidR="003C13F9" w:rsidRPr="00290FBA" w:rsidRDefault="003C13F9" w:rsidP="003C13F9">
      <w:pPr>
        <w:rPr>
          <w:sz w:val="18"/>
          <w:szCs w:val="18"/>
          <w:lang w:val="en-GB"/>
        </w:rPr>
      </w:pPr>
      <w:r w:rsidRPr="00290FBA">
        <w:rPr>
          <w:sz w:val="18"/>
          <w:szCs w:val="18"/>
          <w:lang w:val="en-GB"/>
        </w:rPr>
        <w:t>oneM2M declines all responsibility for any errors and any loss or damage resulting from use of the contents of this White Paper.</w:t>
      </w:r>
    </w:p>
    <w:p w14:paraId="606BD06B" w14:textId="77777777" w:rsidR="003C13F9" w:rsidRPr="00290FBA" w:rsidRDefault="003C13F9" w:rsidP="003C13F9">
      <w:pPr>
        <w:rPr>
          <w:sz w:val="18"/>
          <w:szCs w:val="18"/>
          <w:lang w:val="en-GB"/>
        </w:rPr>
      </w:pPr>
      <w:r w:rsidRPr="00290FBA">
        <w:rPr>
          <w:sz w:val="18"/>
          <w:szCs w:val="18"/>
          <w:lang w:val="en-GB"/>
        </w:rPr>
        <w:t>oneM2M also declines responsibility for any infringement of any third party's Intellectual Property Rights (IPR) but will be pleased to acknowledge any IPR and correct any infringement of which it is advised.</w:t>
      </w:r>
    </w:p>
    <w:p w14:paraId="23278C30" w14:textId="77777777" w:rsidR="003C13F9" w:rsidRPr="00290FBA" w:rsidRDefault="003C13F9" w:rsidP="003C13F9">
      <w:pPr>
        <w:rPr>
          <w:sz w:val="18"/>
          <w:szCs w:val="18"/>
          <w:lang w:val="en-GB"/>
        </w:rPr>
      </w:pPr>
      <w:r w:rsidRPr="00290FBA">
        <w:rPr>
          <w:sz w:val="18"/>
          <w:szCs w:val="18"/>
          <w:lang w:val="en-GB"/>
        </w:rPr>
        <w:t>Copyright Notification</w:t>
      </w:r>
    </w:p>
    <w:p w14:paraId="3F39D5D2" w14:textId="77777777" w:rsidR="003C13F9" w:rsidRPr="00290FBA" w:rsidRDefault="003C13F9" w:rsidP="003C13F9">
      <w:pPr>
        <w:rPr>
          <w:sz w:val="18"/>
          <w:szCs w:val="18"/>
          <w:lang w:val="en-GB"/>
        </w:rPr>
      </w:pPr>
      <w:r w:rsidRPr="00290FBA">
        <w:rPr>
          <w:sz w:val="18"/>
          <w:szCs w:val="18"/>
          <w:lang w:val="en-GB"/>
        </w:rPr>
        <w:t>Copying or reproduction in whole is permitted if the copy is complete and unchanged (including this copyright statement).</w:t>
      </w:r>
    </w:p>
    <w:p w14:paraId="28CC9E99" w14:textId="77777777" w:rsidR="003C13F9" w:rsidRPr="00290FBA" w:rsidRDefault="003C13F9" w:rsidP="003C13F9">
      <w:pPr>
        <w:rPr>
          <w:sz w:val="18"/>
          <w:szCs w:val="18"/>
          <w:lang w:val="en-GB"/>
        </w:rPr>
      </w:pPr>
      <w:r w:rsidRPr="00290FBA">
        <w:rPr>
          <w:sz w:val="18"/>
          <w:szCs w:val="18"/>
          <w:lang w:val="en-GB"/>
        </w:rPr>
        <w:t xml:space="preserve"> © oneM2M 2021. All rights reserved.</w:t>
      </w:r>
    </w:p>
    <w:p w14:paraId="4CED2E18" w14:textId="77777777" w:rsidR="003C13F9" w:rsidRPr="00290FBA" w:rsidRDefault="003C13F9" w:rsidP="003C13F9">
      <w:pPr>
        <w:rPr>
          <w:sz w:val="18"/>
          <w:szCs w:val="18"/>
          <w:lang w:val="en-GB"/>
        </w:rPr>
      </w:pPr>
      <w:r w:rsidRPr="00290FBA">
        <w:rPr>
          <w:sz w:val="18"/>
          <w:szCs w:val="18"/>
          <w:lang w:val="en-GB"/>
        </w:rPr>
        <w:t xml:space="preserve">DECT™, PLUGTESTS™, UMTS™, TIPHON™, IMS™, INTEROPOLIS™, FORAPOLIS™, and the TIPHON and ETSI logos are </w:t>
      </w:r>
      <w:proofErr w:type="gramStart"/>
      <w:r w:rsidRPr="00290FBA">
        <w:rPr>
          <w:sz w:val="18"/>
          <w:szCs w:val="18"/>
          <w:lang w:val="en-GB"/>
        </w:rPr>
        <w:t>Trade Marks</w:t>
      </w:r>
      <w:proofErr w:type="gramEnd"/>
      <w:r w:rsidRPr="00290FBA">
        <w:rPr>
          <w:sz w:val="18"/>
          <w:szCs w:val="18"/>
          <w:lang w:val="en-GB"/>
        </w:rPr>
        <w:t xml:space="preserve"> of ETSI registered for the benefit of its Members.</w:t>
      </w:r>
    </w:p>
    <w:p w14:paraId="420E38BE" w14:textId="77777777" w:rsidR="003C13F9" w:rsidRPr="00290FBA" w:rsidRDefault="003C13F9" w:rsidP="003C13F9">
      <w:pPr>
        <w:rPr>
          <w:sz w:val="18"/>
          <w:szCs w:val="18"/>
          <w:lang w:val="en-GB"/>
        </w:rPr>
      </w:pPr>
      <w:r w:rsidRPr="00290FBA">
        <w:rPr>
          <w:sz w:val="18"/>
          <w:szCs w:val="18"/>
          <w:lang w:val="en-GB"/>
        </w:rPr>
        <w:t xml:space="preserve">3GPP™ and LTE™ are </w:t>
      </w:r>
      <w:proofErr w:type="gramStart"/>
      <w:r w:rsidRPr="00290FBA">
        <w:rPr>
          <w:sz w:val="18"/>
          <w:szCs w:val="18"/>
          <w:lang w:val="en-GB"/>
        </w:rPr>
        <w:t>Trade Marks</w:t>
      </w:r>
      <w:proofErr w:type="gramEnd"/>
      <w:r w:rsidRPr="00290FBA">
        <w:rPr>
          <w:sz w:val="18"/>
          <w:szCs w:val="18"/>
          <w:lang w:val="en-GB"/>
        </w:rPr>
        <w:t xml:space="preserve"> of ETSI registered for the benefit of its Members¬ and of the 3GPP Organizational Partners.</w:t>
      </w:r>
    </w:p>
    <w:p w14:paraId="1164F685" w14:textId="07E97CBE" w:rsidR="00CD11F7" w:rsidRPr="00CD11F7" w:rsidRDefault="003C13F9">
      <w:pPr>
        <w:rPr>
          <w:lang w:val="en-GB"/>
        </w:rPr>
      </w:pPr>
      <w:r w:rsidRPr="00290FBA">
        <w:rPr>
          <w:sz w:val="18"/>
          <w:szCs w:val="18"/>
          <w:lang w:val="en-GB"/>
        </w:rPr>
        <w:t xml:space="preserve">GSM™, the Global System for Mobile communication, is a registered </w:t>
      </w:r>
      <w:proofErr w:type="gramStart"/>
      <w:r w:rsidRPr="00290FBA">
        <w:rPr>
          <w:sz w:val="18"/>
          <w:szCs w:val="18"/>
          <w:lang w:val="en-GB"/>
        </w:rPr>
        <w:t>Trade Mark</w:t>
      </w:r>
      <w:proofErr w:type="gramEnd"/>
      <w:r w:rsidRPr="00290FBA">
        <w:rPr>
          <w:sz w:val="18"/>
          <w:szCs w:val="18"/>
          <w:lang w:val="en-GB"/>
        </w:rPr>
        <w:t xml:space="preserve"> of the GSM Association.</w:t>
      </w:r>
    </w:p>
    <w:sectPr w:rsidR="00CD11F7" w:rsidRPr="00CD11F7">
      <w:footerReference w:type="default" r:id="rId4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DB353D" w14:textId="77777777" w:rsidR="008C2CB8" w:rsidRDefault="008C2CB8" w:rsidP="002247E3">
      <w:pPr>
        <w:spacing w:line="240" w:lineRule="auto"/>
      </w:pPr>
      <w:r>
        <w:separator/>
      </w:r>
    </w:p>
  </w:endnote>
  <w:endnote w:type="continuationSeparator" w:id="0">
    <w:p w14:paraId="013EAB40" w14:textId="77777777" w:rsidR="008C2CB8" w:rsidRDefault="008C2CB8" w:rsidP="002247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SemiExt">
    <w:altName w:val="Segoe UI"/>
    <w:panose1 w:val="020B0505030403020204"/>
    <w:charset w:val="00"/>
    <w:family w:val="swiss"/>
    <w:notTrueType/>
    <w:pitch w:val="variable"/>
    <w:sig w:usb0="A00002AF" w:usb1="5000204B"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A4F43" w14:textId="6AECCA88" w:rsidR="0029498B" w:rsidRPr="0029498B" w:rsidRDefault="0029498B">
    <w:pPr>
      <w:pStyle w:val="Footer"/>
      <w:jc w:val="right"/>
      <w:rPr>
        <w:sz w:val="20"/>
        <w:szCs w:val="20"/>
      </w:rPr>
    </w:pPr>
    <w:r w:rsidRPr="0029498B">
      <w:rPr>
        <w:sz w:val="20"/>
        <w:szCs w:val="20"/>
      </w:rPr>
      <w:t>oneM2M</w:t>
    </w:r>
    <w:r w:rsidR="00CA49E2">
      <w:rPr>
        <w:sz w:val="20"/>
        <w:szCs w:val="20"/>
      </w:rPr>
      <w:t xml:space="preserve"> -</w:t>
    </w:r>
    <w:r w:rsidRPr="0029498B">
      <w:rPr>
        <w:sz w:val="20"/>
        <w:szCs w:val="20"/>
      </w:rPr>
      <w:t xml:space="preserve"> Sustainable IoT</w:t>
    </w:r>
    <w:r w:rsidRPr="0029498B">
      <w:rPr>
        <w:sz w:val="20"/>
        <w:szCs w:val="20"/>
      </w:rPr>
      <w:tab/>
      <w:t xml:space="preserve"> </w:t>
    </w:r>
    <w:r w:rsidRPr="0029498B">
      <w:rPr>
        <w:sz w:val="20"/>
        <w:szCs w:val="20"/>
      </w:rPr>
      <w:tab/>
    </w:r>
    <w:sdt>
      <w:sdtPr>
        <w:rPr>
          <w:sz w:val="20"/>
          <w:szCs w:val="20"/>
        </w:rPr>
        <w:id w:val="-298079119"/>
        <w:docPartObj>
          <w:docPartGallery w:val="Page Numbers (Bottom of Page)"/>
          <w:docPartUnique/>
        </w:docPartObj>
      </w:sdtPr>
      <w:sdtEndPr>
        <w:rPr>
          <w:noProof/>
        </w:rPr>
      </w:sdtEndPr>
      <w:sdtContent>
        <w:r w:rsidRPr="0029498B">
          <w:rPr>
            <w:sz w:val="20"/>
            <w:szCs w:val="20"/>
          </w:rPr>
          <w:fldChar w:fldCharType="begin"/>
        </w:r>
        <w:r w:rsidRPr="0029498B">
          <w:rPr>
            <w:sz w:val="20"/>
            <w:szCs w:val="20"/>
          </w:rPr>
          <w:instrText xml:space="preserve"> PAGE   \* MERGEFORMAT </w:instrText>
        </w:r>
        <w:r w:rsidRPr="0029498B">
          <w:rPr>
            <w:sz w:val="20"/>
            <w:szCs w:val="20"/>
          </w:rPr>
          <w:fldChar w:fldCharType="separate"/>
        </w:r>
        <w:r w:rsidRPr="0029498B">
          <w:rPr>
            <w:noProof/>
            <w:sz w:val="20"/>
            <w:szCs w:val="20"/>
          </w:rPr>
          <w:t>2</w:t>
        </w:r>
        <w:r w:rsidRPr="0029498B">
          <w:rPr>
            <w:noProof/>
            <w:sz w:val="20"/>
            <w:szCs w:val="20"/>
          </w:rPr>
          <w:fldChar w:fldCharType="end"/>
        </w:r>
      </w:sdtContent>
    </w:sdt>
  </w:p>
  <w:p w14:paraId="634C6010" w14:textId="77777777" w:rsidR="0029498B" w:rsidRDefault="002949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93FAC" w14:textId="77777777" w:rsidR="008C2CB8" w:rsidRDefault="008C2CB8" w:rsidP="002247E3">
      <w:pPr>
        <w:spacing w:line="240" w:lineRule="auto"/>
      </w:pPr>
      <w:r>
        <w:separator/>
      </w:r>
    </w:p>
  </w:footnote>
  <w:footnote w:type="continuationSeparator" w:id="0">
    <w:p w14:paraId="2895382E" w14:textId="77777777" w:rsidR="008C2CB8" w:rsidRDefault="008C2CB8" w:rsidP="002247E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71B12"/>
    <w:multiLevelType w:val="multilevel"/>
    <w:tmpl w:val="73D2BE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3E64FA"/>
    <w:multiLevelType w:val="multilevel"/>
    <w:tmpl w:val="336E4A52"/>
    <w:lvl w:ilvl="0">
      <w:start w:val="1"/>
      <w:numFmt w:val="bullet"/>
      <w:lvlText w:val="●"/>
      <w:lvlJc w:val="left"/>
      <w:pPr>
        <w:ind w:left="720" w:hanging="360"/>
      </w:pPr>
      <w:rPr>
        <w:rFonts w:ascii="Arial" w:eastAsia="Arial" w:hAnsi="Arial" w:cs="Arial"/>
        <w:color w:val="1D3D6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E320EF"/>
    <w:multiLevelType w:val="multilevel"/>
    <w:tmpl w:val="5510B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8065F20"/>
    <w:multiLevelType w:val="multilevel"/>
    <w:tmpl w:val="38F47A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D566E1E"/>
    <w:multiLevelType w:val="hybridMultilevel"/>
    <w:tmpl w:val="9A9E0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0D56F6B"/>
    <w:multiLevelType w:val="hybridMultilevel"/>
    <w:tmpl w:val="6F7C7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0A00C5"/>
    <w:multiLevelType w:val="multilevel"/>
    <w:tmpl w:val="685601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7453953"/>
    <w:multiLevelType w:val="multilevel"/>
    <w:tmpl w:val="C39492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9C9329E"/>
    <w:multiLevelType w:val="multilevel"/>
    <w:tmpl w:val="1D1877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C182462"/>
    <w:multiLevelType w:val="multilevel"/>
    <w:tmpl w:val="0874B9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2"/>
  </w:num>
  <w:num w:numId="2">
    <w:abstractNumId w:val="3"/>
  </w:num>
  <w:num w:numId="3">
    <w:abstractNumId w:val="6"/>
  </w:num>
  <w:num w:numId="4">
    <w:abstractNumId w:val="0"/>
  </w:num>
  <w:num w:numId="5">
    <w:abstractNumId w:val="9"/>
  </w:num>
  <w:num w:numId="6">
    <w:abstractNumId w:val="1"/>
  </w:num>
  <w:num w:numId="7">
    <w:abstractNumId w:val="8"/>
  </w:num>
  <w:num w:numId="8">
    <w:abstractNumId w:val="7"/>
  </w:num>
  <w:num w:numId="9">
    <w:abstractNumId w:val="4"/>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4B6B"/>
    <w:rsid w:val="00013B3A"/>
    <w:rsid w:val="00061E97"/>
    <w:rsid w:val="001134B4"/>
    <w:rsid w:val="00123C60"/>
    <w:rsid w:val="00153F64"/>
    <w:rsid w:val="00156F32"/>
    <w:rsid w:val="00165CA6"/>
    <w:rsid w:val="00183AC9"/>
    <w:rsid w:val="001A3D8A"/>
    <w:rsid w:val="001B18BD"/>
    <w:rsid w:val="001B68F6"/>
    <w:rsid w:val="002247E3"/>
    <w:rsid w:val="00290FBA"/>
    <w:rsid w:val="0029498B"/>
    <w:rsid w:val="002D0F31"/>
    <w:rsid w:val="002E028D"/>
    <w:rsid w:val="002F6863"/>
    <w:rsid w:val="002F7D2C"/>
    <w:rsid w:val="0032219F"/>
    <w:rsid w:val="00322FCD"/>
    <w:rsid w:val="00334523"/>
    <w:rsid w:val="00346724"/>
    <w:rsid w:val="00367319"/>
    <w:rsid w:val="003833D0"/>
    <w:rsid w:val="003C13F9"/>
    <w:rsid w:val="003D6557"/>
    <w:rsid w:val="003D7CF2"/>
    <w:rsid w:val="003E5DA3"/>
    <w:rsid w:val="003F0EBF"/>
    <w:rsid w:val="00441EA9"/>
    <w:rsid w:val="004763FF"/>
    <w:rsid w:val="00482D2A"/>
    <w:rsid w:val="00490776"/>
    <w:rsid w:val="004A1404"/>
    <w:rsid w:val="004A3DD4"/>
    <w:rsid w:val="004D54E2"/>
    <w:rsid w:val="00524B6B"/>
    <w:rsid w:val="0055753C"/>
    <w:rsid w:val="0056051F"/>
    <w:rsid w:val="005E0664"/>
    <w:rsid w:val="005E0FAB"/>
    <w:rsid w:val="00615D34"/>
    <w:rsid w:val="00635678"/>
    <w:rsid w:val="00636D5B"/>
    <w:rsid w:val="00694362"/>
    <w:rsid w:val="006B0B9D"/>
    <w:rsid w:val="006C4AC7"/>
    <w:rsid w:val="007335CB"/>
    <w:rsid w:val="00742BDB"/>
    <w:rsid w:val="0075756F"/>
    <w:rsid w:val="00763FF6"/>
    <w:rsid w:val="007850B8"/>
    <w:rsid w:val="007F22B6"/>
    <w:rsid w:val="00827352"/>
    <w:rsid w:val="00833CE5"/>
    <w:rsid w:val="00850CC4"/>
    <w:rsid w:val="008C2CB8"/>
    <w:rsid w:val="008E6FF5"/>
    <w:rsid w:val="008F2DE0"/>
    <w:rsid w:val="00930529"/>
    <w:rsid w:val="00967DEF"/>
    <w:rsid w:val="009A0A15"/>
    <w:rsid w:val="00A05E9A"/>
    <w:rsid w:val="00A562CA"/>
    <w:rsid w:val="00A746A2"/>
    <w:rsid w:val="00AE0E90"/>
    <w:rsid w:val="00B405D3"/>
    <w:rsid w:val="00B6054F"/>
    <w:rsid w:val="00B838E0"/>
    <w:rsid w:val="00BB437C"/>
    <w:rsid w:val="00BC2252"/>
    <w:rsid w:val="00BD3B1B"/>
    <w:rsid w:val="00C00043"/>
    <w:rsid w:val="00C308A8"/>
    <w:rsid w:val="00C95FCD"/>
    <w:rsid w:val="00CA49E2"/>
    <w:rsid w:val="00CB3A1F"/>
    <w:rsid w:val="00CD11F7"/>
    <w:rsid w:val="00CE0C06"/>
    <w:rsid w:val="00DA41F1"/>
    <w:rsid w:val="00DB643B"/>
    <w:rsid w:val="00DD3D52"/>
    <w:rsid w:val="00DF5BE1"/>
    <w:rsid w:val="00DF6F71"/>
    <w:rsid w:val="00E16A7A"/>
    <w:rsid w:val="00E277D2"/>
    <w:rsid w:val="00E60127"/>
    <w:rsid w:val="00E60410"/>
    <w:rsid w:val="00EA1749"/>
    <w:rsid w:val="00F01682"/>
    <w:rsid w:val="00F021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B909D8"/>
  <w15:docId w15:val="{7AA994EE-44A8-4553-8CED-B60A152E65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0A15"/>
    <w:rPr>
      <w:rFonts w:ascii="Myriad Pro SemiExt" w:hAnsi="Myriad Pro SemiExt"/>
    </w:rPr>
  </w:style>
  <w:style w:type="paragraph" w:styleId="Heading1">
    <w:name w:val="heading 1"/>
    <w:basedOn w:val="Normal"/>
    <w:next w:val="Normal"/>
    <w:uiPriority w:val="9"/>
    <w:qFormat/>
    <w:rsid w:val="009A0A15"/>
    <w:pPr>
      <w:keepNext/>
      <w:keepLines/>
      <w:spacing w:before="400" w:after="120"/>
      <w:outlineLvl w:val="0"/>
    </w:pPr>
    <w:rPr>
      <w:sz w:val="40"/>
      <w:szCs w:val="40"/>
    </w:rPr>
  </w:style>
  <w:style w:type="paragraph" w:styleId="Heading2">
    <w:name w:val="heading 2"/>
    <w:basedOn w:val="Normal"/>
    <w:next w:val="Normal"/>
    <w:uiPriority w:val="9"/>
    <w:unhideWhenUsed/>
    <w:qFormat/>
    <w:rsid w:val="009A0A15"/>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TOC1">
    <w:name w:val="toc 1"/>
    <w:basedOn w:val="Normal"/>
    <w:next w:val="Normal"/>
    <w:autoRedefine/>
    <w:uiPriority w:val="39"/>
    <w:unhideWhenUsed/>
    <w:rsid w:val="00BB437C"/>
    <w:pPr>
      <w:spacing w:after="100"/>
    </w:pPr>
  </w:style>
  <w:style w:type="paragraph" w:styleId="TOC2">
    <w:name w:val="toc 2"/>
    <w:basedOn w:val="Normal"/>
    <w:next w:val="Normal"/>
    <w:autoRedefine/>
    <w:uiPriority w:val="39"/>
    <w:unhideWhenUsed/>
    <w:rsid w:val="00BB437C"/>
    <w:pPr>
      <w:spacing w:after="100"/>
      <w:ind w:left="220"/>
    </w:pPr>
  </w:style>
  <w:style w:type="character" w:styleId="Hyperlink">
    <w:name w:val="Hyperlink"/>
    <w:basedOn w:val="DefaultParagraphFont"/>
    <w:uiPriority w:val="99"/>
    <w:unhideWhenUsed/>
    <w:rsid w:val="00BB437C"/>
    <w:rPr>
      <w:color w:val="0000FF" w:themeColor="hyperlink"/>
      <w:u w:val="single"/>
    </w:rPr>
  </w:style>
  <w:style w:type="table" w:styleId="TableGrid">
    <w:name w:val="Table Grid"/>
    <w:basedOn w:val="TableNormal"/>
    <w:uiPriority w:val="39"/>
    <w:rsid w:val="001B18B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5753C"/>
    <w:pPr>
      <w:spacing w:after="200" w:line="240" w:lineRule="auto"/>
    </w:pPr>
    <w:rPr>
      <w:i/>
      <w:iCs/>
      <w:color w:val="1F497D" w:themeColor="text2"/>
      <w:sz w:val="18"/>
      <w:szCs w:val="18"/>
    </w:rPr>
  </w:style>
  <w:style w:type="paragraph" w:styleId="FootnoteText">
    <w:name w:val="footnote text"/>
    <w:basedOn w:val="Normal"/>
    <w:link w:val="FootnoteTextChar"/>
    <w:uiPriority w:val="99"/>
    <w:semiHidden/>
    <w:unhideWhenUsed/>
    <w:rsid w:val="002247E3"/>
    <w:pPr>
      <w:spacing w:line="240" w:lineRule="auto"/>
    </w:pPr>
    <w:rPr>
      <w:sz w:val="20"/>
      <w:szCs w:val="20"/>
    </w:rPr>
  </w:style>
  <w:style w:type="character" w:customStyle="1" w:styleId="FootnoteTextChar">
    <w:name w:val="Footnote Text Char"/>
    <w:basedOn w:val="DefaultParagraphFont"/>
    <w:link w:val="FootnoteText"/>
    <w:uiPriority w:val="99"/>
    <w:semiHidden/>
    <w:rsid w:val="002247E3"/>
    <w:rPr>
      <w:sz w:val="20"/>
      <w:szCs w:val="20"/>
    </w:rPr>
  </w:style>
  <w:style w:type="character" w:styleId="FootnoteReference">
    <w:name w:val="footnote reference"/>
    <w:basedOn w:val="DefaultParagraphFont"/>
    <w:uiPriority w:val="99"/>
    <w:semiHidden/>
    <w:unhideWhenUsed/>
    <w:rsid w:val="002247E3"/>
    <w:rPr>
      <w:vertAlign w:val="superscript"/>
    </w:rPr>
  </w:style>
  <w:style w:type="paragraph" w:styleId="ListParagraph">
    <w:name w:val="List Paragraph"/>
    <w:basedOn w:val="Normal"/>
    <w:uiPriority w:val="34"/>
    <w:qFormat/>
    <w:rsid w:val="00DF6F71"/>
    <w:pPr>
      <w:ind w:left="720"/>
      <w:contextualSpacing/>
    </w:pPr>
  </w:style>
  <w:style w:type="paragraph" w:styleId="Header">
    <w:name w:val="header"/>
    <w:basedOn w:val="Normal"/>
    <w:link w:val="HeaderChar"/>
    <w:uiPriority w:val="99"/>
    <w:unhideWhenUsed/>
    <w:rsid w:val="0029498B"/>
    <w:pPr>
      <w:tabs>
        <w:tab w:val="center" w:pos="4680"/>
        <w:tab w:val="right" w:pos="9360"/>
      </w:tabs>
      <w:spacing w:line="240" w:lineRule="auto"/>
    </w:pPr>
  </w:style>
  <w:style w:type="character" w:customStyle="1" w:styleId="HeaderChar">
    <w:name w:val="Header Char"/>
    <w:basedOn w:val="DefaultParagraphFont"/>
    <w:link w:val="Header"/>
    <w:uiPriority w:val="99"/>
    <w:rsid w:val="0029498B"/>
  </w:style>
  <w:style w:type="paragraph" w:styleId="Footer">
    <w:name w:val="footer"/>
    <w:basedOn w:val="Normal"/>
    <w:link w:val="FooterChar"/>
    <w:uiPriority w:val="99"/>
    <w:unhideWhenUsed/>
    <w:rsid w:val="0029498B"/>
    <w:pPr>
      <w:tabs>
        <w:tab w:val="center" w:pos="4680"/>
        <w:tab w:val="right" w:pos="9360"/>
      </w:tabs>
      <w:spacing w:line="240" w:lineRule="auto"/>
    </w:pPr>
  </w:style>
  <w:style w:type="character" w:customStyle="1" w:styleId="FooterChar">
    <w:name w:val="Footer Char"/>
    <w:basedOn w:val="DefaultParagraphFont"/>
    <w:link w:val="Footer"/>
    <w:uiPriority w:val="99"/>
    <w:rsid w:val="0029498B"/>
  </w:style>
  <w:style w:type="character" w:styleId="UnresolvedMention">
    <w:name w:val="Unresolved Mention"/>
    <w:basedOn w:val="DefaultParagraphFont"/>
    <w:uiPriority w:val="99"/>
    <w:semiHidden/>
    <w:unhideWhenUsed/>
    <w:rsid w:val="003833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0725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onem2m.org/membership/executive-viewpoints/683-g-ramachandra-iot-standardization-would-help-us-to-reuse-a-common-platform-which-itself-is-beneficial-for-sustainability" TargetMode="External"/><Relationship Id="rId26" Type="http://schemas.openxmlformats.org/officeDocument/2006/relationships/hyperlink" Target="https://www.un.org/sustainabledevelopment/" TargetMode="External"/><Relationship Id="rId39" Type="http://schemas.openxmlformats.org/officeDocument/2006/relationships/image" Target="media/image9.emf"/><Relationship Id="rId3" Type="http://schemas.openxmlformats.org/officeDocument/2006/relationships/styles" Target="styles.xml"/><Relationship Id="rId21" Type="http://schemas.openxmlformats.org/officeDocument/2006/relationships/hyperlink" Target="https://www.onem2m.org/membership/executive-viewpoints/722-d-m-van-gorp-businesses-should-use-technology-not-so-much-for-cost-saving-but-to-make-value-chains-more-sustainable" TargetMode="External"/><Relationship Id="rId34" Type="http://schemas.openxmlformats.org/officeDocument/2006/relationships/hyperlink" Target="https://www.iiconsortium.org/pdf/June_2017_JoI_Intelligent_Transport_Solutions_for_Smart_Cities_and_Regions.pdf" TargetMode="External"/><Relationship Id="rId42" Type="http://schemas.openxmlformats.org/officeDocument/2006/relationships/image" Target="media/image10.png"/><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ipcc.ch/sr15/" TargetMode="External"/><Relationship Id="rId17" Type="http://schemas.openxmlformats.org/officeDocument/2006/relationships/hyperlink" Target="https://www.globalreporting.org/" TargetMode="External"/><Relationship Id="rId25" Type="http://schemas.openxmlformats.org/officeDocument/2006/relationships/hyperlink" Target="https://www.unep.org/resources/report/measuring-progress-towards-achieving-environmental-dimension-sdgs" TargetMode="External"/><Relationship Id="rId33" Type="http://schemas.openxmlformats.org/officeDocument/2006/relationships/hyperlink" Target="https://onetransport.io/" TargetMode="External"/><Relationship Id="rId38" Type="http://schemas.openxmlformats.org/officeDocument/2006/relationships/hyperlink" Target="https://www.onem2m.org/membership/executive-viewpoints/394-as-the-iot-market-becomes-more-focused-on-data-onem2m-is-working-on-gdpr-and-pipa-support-issues" TargetMode="External"/><Relationship Id="rId46" Type="http://schemas.openxmlformats.org/officeDocument/2006/relationships/hyperlink" Target="https://mastermedia.orange-business.com/publicMedia?t=pmpvq0MMfT" TargetMode="External"/><Relationship Id="rId2" Type="http://schemas.openxmlformats.org/officeDocument/2006/relationships/numbering" Target="numbering.xml"/><Relationship Id="rId16" Type="http://schemas.openxmlformats.org/officeDocument/2006/relationships/hyperlink" Target="https://www.ipcc.ch/sr15/" TargetMode="External"/><Relationship Id="rId20" Type="http://schemas.openxmlformats.org/officeDocument/2006/relationships/hyperlink" Target="https://ec.europa.eu/info/strategy/priorities-2019-2024/european-green-deal_en" TargetMode="External"/><Relationship Id="rId29" Type="http://schemas.openxmlformats.org/officeDocument/2006/relationships/hyperlink" Target="https://www.unep.org/resources/report/measuring-progress-towards-achieving-environmental-dimension-sdgs" TargetMode="External"/><Relationship Id="rId41" Type="http://schemas.openxmlformats.org/officeDocument/2006/relationships/hyperlink" Target="https://www.gsma.com/iot/resources/no-harm-to-network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sma.com/iot/resources/no-harm-to-networks/" TargetMode="External"/><Relationship Id="rId24" Type="http://schemas.openxmlformats.org/officeDocument/2006/relationships/hyperlink" Target="https://www.unep.org/resources/report/measuring-progress-towards-achieving-environmental-dimension-sdgs" TargetMode="External"/><Relationship Id="rId32" Type="http://schemas.openxmlformats.org/officeDocument/2006/relationships/image" Target="media/image6.png"/><Relationship Id="rId37" Type="http://schemas.openxmlformats.org/officeDocument/2006/relationships/image" Target="media/image8.emf"/><Relationship Id="rId40" Type="http://schemas.openxmlformats.org/officeDocument/2006/relationships/hyperlink" Target="https://www.brighttalk.com/webcast/11949/496246" TargetMode="External"/><Relationship Id="rId45" Type="http://schemas.openxmlformats.org/officeDocument/2006/relationships/hyperlink" Target="https://www.brighttalk.com/webcast/11949/496246" TargetMode="External"/><Relationship Id="rId5" Type="http://schemas.openxmlformats.org/officeDocument/2006/relationships/webSettings" Target="webSettings.xml"/><Relationship Id="rId15" Type="http://schemas.openxmlformats.org/officeDocument/2006/relationships/hyperlink" Target="https://sciencebasedtargets.org/" TargetMode="External"/><Relationship Id="rId23" Type="http://schemas.openxmlformats.org/officeDocument/2006/relationships/hyperlink" Target="https://www.onem2m.org/membership/executive-viewpoints/683-g-ramachandra-iot-standardization-would-help-us-to-reuse-a-common-platform-which-itself-is-beneficial-for-sustainability" TargetMode="External"/><Relationship Id="rId28" Type="http://schemas.openxmlformats.org/officeDocument/2006/relationships/image" Target="media/image4.png"/><Relationship Id="rId36" Type="http://schemas.openxmlformats.org/officeDocument/2006/relationships/hyperlink" Target="https://www.etsi.org/images/files/ETSIWhitePapers/etsi_wp26_city_digital_profile.pdf" TargetMode="External"/><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hyperlink" Target="https://aioti.eu/" TargetMode="External"/><Relationship Id="rId31" Type="http://schemas.openxmlformats.org/officeDocument/2006/relationships/hyperlink" Target="https://hellofuture.orange.com/en/the-internet-of-things-iot-meeting-the-needs-of-trading-ports/" TargetMode="External"/><Relationship Id="rId44" Type="http://schemas.openxmlformats.org/officeDocument/2006/relationships/hyperlink" Target="https://onem2m.org/iot-news/693-onem2m-invites-contributions-on-future-roadmap-for-standards-based-iot-systems" TargetMode="External"/><Relationship Id="rId4" Type="http://schemas.openxmlformats.org/officeDocument/2006/relationships/settings" Target="settings.xml"/><Relationship Id="rId9" Type="http://schemas.openxmlformats.org/officeDocument/2006/relationships/hyperlink" Target="https://ourworldindata.org/emissions-by-sector?country=" TargetMode="External"/><Relationship Id="rId14" Type="http://schemas.openxmlformats.org/officeDocument/2006/relationships/hyperlink" Target="https://onem2m.org/membership/executive-viewpoints/688-k-grobe-all-organizations-need-to-embrace-sustainability-whether-it-is-out-of-concern-for-climate-change-resource-depletion-or-customer-demand" TargetMode="External"/><Relationship Id="rId22" Type="http://schemas.openxmlformats.org/officeDocument/2006/relationships/hyperlink" Target="https://www.onem2m.org/membership/executive-viewpoints/722-d-m-van-gorp-businesses-should-use-technology-not-so-much-for-cost-saving-but-to-make-value-chains-more-sustainable" TargetMode="External"/><Relationship Id="rId27" Type="http://schemas.openxmlformats.org/officeDocument/2006/relationships/hyperlink" Target="https://www.un.org/sustainabledevelopment/" TargetMode="External"/><Relationship Id="rId30" Type="http://schemas.openxmlformats.org/officeDocument/2006/relationships/image" Target="media/image5.emf"/><Relationship Id="rId35" Type="http://schemas.openxmlformats.org/officeDocument/2006/relationships/image" Target="media/image7.png"/><Relationship Id="rId43" Type="http://schemas.openxmlformats.org/officeDocument/2006/relationships/hyperlink" Target="https://saref.etsi.org/core/v3.1.1/" TargetMode="External"/><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05D7DD-E69D-4DFE-9700-DECD9D972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26</Pages>
  <Words>9271</Words>
  <Characters>52849</Characters>
  <Application>Microsoft Office Word</Application>
  <DocSecurity>0</DocSecurity>
  <Lines>440</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 Figueredo</dc:creator>
  <cp:lastModifiedBy>Ken Figueredo</cp:lastModifiedBy>
  <cp:revision>4</cp:revision>
  <cp:lastPrinted>2021-09-14T00:25:00Z</cp:lastPrinted>
  <dcterms:created xsi:type="dcterms:W3CDTF">2021-09-14T00:23:00Z</dcterms:created>
  <dcterms:modified xsi:type="dcterms:W3CDTF">2021-09-14T00:25:00Z</dcterms:modified>
</cp:coreProperties>
</file>